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800"/>
        <w:gridCol w:w="12600"/>
      </w:tblGrid>
      <w:tr w:rsidR="00B34121" w14:paraId="11306F43" w14:textId="77777777" w:rsidTr="004C52B3">
        <w:tc>
          <w:tcPr>
            <w:tcW w:w="1800" w:type="dxa"/>
            <w:tcBorders>
              <w:top w:val="none" w:sz="0" w:space="0" w:color="FFFFFF"/>
              <w:left w:val="none" w:sz="0" w:space="0" w:color="FFFFFF"/>
              <w:bottom w:val="none" w:sz="0" w:space="0" w:color="FFFFFF"/>
              <w:right w:val="none" w:sz="0" w:space="0" w:color="FFFFFF"/>
            </w:tcBorders>
            <w:tcMar>
              <w:top w:w="100" w:type="dxa"/>
              <w:left w:w="0" w:type="dxa"/>
              <w:bottom w:w="100" w:type="dxa"/>
              <w:right w:w="120" w:type="dxa"/>
            </w:tcMar>
            <w:vAlign w:val="center"/>
          </w:tcPr>
          <w:p w14:paraId="0D48EC63" w14:textId="77777777" w:rsidR="00B34121" w:rsidRDefault="00B34121" w:rsidP="009C0E92">
            <w:r>
              <w:rPr>
                <w:noProof/>
              </w:rPr>
              <w:drawing>
                <wp:inline distT="0" distB="0" distL="0" distR="0" wp14:anchorId="7BE93D39" wp14:editId="3DDEBD80">
                  <wp:extent cx="1047750" cy="428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1047750" cy="428625"/>
                          </a:xfrm>
                          <a:prstGeom prst="rect">
                            <a:avLst/>
                          </a:prstGeom>
                        </pic:spPr>
                      </pic:pic>
                    </a:graphicData>
                  </a:graphic>
                </wp:inline>
              </w:drawing>
            </w:r>
          </w:p>
        </w:tc>
        <w:tc>
          <w:tcPr>
            <w:tcW w:w="12600" w:type="dxa"/>
            <w:tcBorders>
              <w:top w:val="none" w:sz="0" w:space="0" w:color="FFFFFF"/>
              <w:left w:val="none" w:sz="0" w:space="0" w:color="FFFFFF"/>
              <w:bottom w:val="none" w:sz="0" w:space="0" w:color="FFFFFF"/>
              <w:right w:val="none" w:sz="0" w:space="0" w:color="FFFFFF"/>
            </w:tcBorders>
            <w:tcMar>
              <w:top w:w="100" w:type="dxa"/>
              <w:left w:w="120" w:type="dxa"/>
              <w:bottom w:w="100" w:type="dxa"/>
              <w:right w:w="0" w:type="dxa"/>
            </w:tcMar>
            <w:vAlign w:val="center"/>
          </w:tcPr>
          <w:p w14:paraId="41A15361" w14:textId="77777777" w:rsidR="00B34121" w:rsidRDefault="00B34121" w:rsidP="009C0E92">
            <w:pPr>
              <w:jc w:val="right"/>
            </w:pPr>
            <w:r>
              <w:rPr>
                <w:b/>
                <w:bCs/>
                <w:color w:val="707070"/>
              </w:rPr>
              <w:t>NORTH ISLAND COLLEGE</w:t>
            </w:r>
          </w:p>
          <w:p w14:paraId="650879AB" w14:textId="77777777" w:rsidR="00B34121" w:rsidRDefault="00B34121" w:rsidP="009C0E92">
            <w:pPr>
              <w:jc w:val="right"/>
            </w:pPr>
            <w:r>
              <w:rPr>
                <w:color w:val="707070"/>
              </w:rPr>
              <w:t>Office of the Vice President, Academic</w:t>
            </w:r>
          </w:p>
        </w:tc>
      </w:tr>
    </w:tbl>
    <w:p w14:paraId="0A292486" w14:textId="77777777" w:rsidR="00B34121" w:rsidRDefault="00B34121" w:rsidP="009C0E92">
      <w:pPr>
        <w:pBdr>
          <w:bottom w:val="single" w:sz="18" w:space="6" w:color="F4B41A"/>
        </w:pBdr>
      </w:pPr>
    </w:p>
    <w:p w14:paraId="676AF195" w14:textId="24F29917" w:rsidR="00B34121" w:rsidRDefault="00B34121" w:rsidP="009C0E92">
      <w:r>
        <w:rPr>
          <w:b/>
          <w:bCs/>
          <w:color w:val="1F3A5F"/>
          <w:spacing w:val="20"/>
          <w:sz w:val="32"/>
          <w:szCs w:val="32"/>
        </w:rPr>
        <w:t>PROGRAM REVIEW SCHEDULE</w:t>
      </w:r>
      <w:r>
        <w:rPr>
          <w:sz w:val="24"/>
          <w:szCs w:val="24"/>
        </w:rPr>
        <w:t xml:space="preserve">    </w:t>
      </w:r>
      <w:r w:rsidR="009020EE">
        <w:rPr>
          <w:sz w:val="24"/>
          <w:szCs w:val="24"/>
        </w:rPr>
        <w:t>May</w:t>
      </w:r>
      <w:r>
        <w:rPr>
          <w:sz w:val="24"/>
          <w:szCs w:val="24"/>
        </w:rPr>
        <w:t xml:space="preserve"> 2026</w:t>
      </w:r>
    </w:p>
    <w:p w14:paraId="0CC2D738" w14:textId="77777777" w:rsidR="00B34121" w:rsidRDefault="00B34121" w:rsidP="009C0E92">
      <w:pPr>
        <w:pBdr>
          <w:bottom w:val="single" w:sz="6" w:space="4" w:color="1F3A5F"/>
        </w:pBdr>
      </w:pPr>
    </w:p>
    <w:tbl>
      <w:tblPr>
        <w:tblW w:w="144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80"/>
        <w:gridCol w:w="14320"/>
      </w:tblGrid>
      <w:tr w:rsidR="00B34121" w14:paraId="5A19B453" w14:textId="77777777" w:rsidTr="004C52B3">
        <w:tc>
          <w:tcPr>
            <w:tcW w:w="80" w:type="dxa"/>
            <w:tcBorders>
              <w:top w:val="none" w:sz="0" w:space="0" w:color="FFFFFF"/>
              <w:left w:val="none" w:sz="0" w:space="0" w:color="FFFFFF"/>
              <w:bottom w:val="none" w:sz="0" w:space="0" w:color="FFFFFF"/>
              <w:right w:val="none" w:sz="0" w:space="0" w:color="FFFFFF"/>
            </w:tcBorders>
            <w:shd w:val="clear" w:color="auto" w:fill="F4B41A"/>
            <w:tcMar>
              <w:top w:w="0" w:type="dxa"/>
              <w:left w:w="0" w:type="dxa"/>
              <w:bottom w:w="0" w:type="dxa"/>
              <w:right w:w="0" w:type="dxa"/>
            </w:tcMar>
          </w:tcPr>
          <w:p w14:paraId="29C73D03" w14:textId="77777777" w:rsidR="00B34121" w:rsidRDefault="00B34121" w:rsidP="009C0E92"/>
        </w:tc>
        <w:tc>
          <w:tcPr>
            <w:tcW w:w="14320" w:type="dxa"/>
            <w:tcBorders>
              <w:top w:val="none" w:sz="0" w:space="0" w:color="FFFFFF"/>
              <w:left w:val="none" w:sz="0" w:space="0" w:color="FFFFFF"/>
              <w:bottom w:val="none" w:sz="0" w:space="0" w:color="FFFFFF"/>
              <w:right w:val="none" w:sz="0" w:space="0" w:color="FFFFFF"/>
            </w:tcBorders>
            <w:shd w:val="clear" w:color="auto" w:fill="E8EEF5"/>
            <w:tcMar>
              <w:top w:w="120" w:type="dxa"/>
              <w:left w:w="240" w:type="dxa"/>
              <w:bottom w:w="120" w:type="dxa"/>
              <w:right w:w="240" w:type="dxa"/>
            </w:tcMar>
          </w:tcPr>
          <w:p w14:paraId="5B7C625F" w14:textId="77777777" w:rsidR="00B34121" w:rsidRDefault="00B34121" w:rsidP="009C0E92">
            <w:r>
              <w:rPr>
                <w:b/>
                <w:bCs/>
                <w:color w:val="1F3A5F"/>
                <w:spacing w:val="20"/>
                <w:sz w:val="20"/>
                <w:szCs w:val="20"/>
              </w:rPr>
              <w:t>About this schedule</w:t>
            </w:r>
          </w:p>
          <w:p w14:paraId="4DD6BEE3" w14:textId="77777777" w:rsidR="00B34121" w:rsidRDefault="00B34121" w:rsidP="009C0E92">
            <w:r>
              <w:rPr>
                <w:sz w:val="17"/>
                <w:szCs w:val="17"/>
              </w:rPr>
              <w:t>This schedule outlines the years during which each program area will engage in the required institutional program review process per Policy 3-11. The process takes 1–2 years to complete the first five phases. Each year, the Education Team reviews the schedule, consults with chairs, and advises the Vice President, Academic on the final version, which is then made public.</w:t>
            </w:r>
          </w:p>
          <w:p w14:paraId="4265E547" w14:textId="77777777" w:rsidR="00B34121" w:rsidRDefault="00B34121" w:rsidP="009C0E92">
            <w:r>
              <w:rPr>
                <w:sz w:val="17"/>
                <w:szCs w:val="17"/>
              </w:rPr>
              <w:t>Reports and documents are made public to the NIC community on the NIC Program Review SharePoint site. The Final Report and Action Plans, along with the One-Year Follow-Up Report, are also shared on the NIC public website.</w:t>
            </w:r>
          </w:p>
        </w:tc>
      </w:tr>
    </w:tbl>
    <w:p w14:paraId="2727C4B2" w14:textId="77777777" w:rsidR="00B34121" w:rsidRDefault="00B34121" w:rsidP="009C0E9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6"/>
        <w:gridCol w:w="2056"/>
        <w:gridCol w:w="2056"/>
        <w:gridCol w:w="2056"/>
        <w:gridCol w:w="2056"/>
        <w:gridCol w:w="2055"/>
        <w:gridCol w:w="2055"/>
      </w:tblGrid>
      <w:tr w:rsidR="00377E69" w14:paraId="6F95E2B9" w14:textId="77777777" w:rsidTr="00356559">
        <w:trPr>
          <w:tblHeader/>
        </w:trPr>
        <w:tc>
          <w:tcPr>
            <w:tcW w:w="714" w:type="pct"/>
            <w:tcBorders>
              <w:top w:val="single" w:sz="4" w:space="0" w:color="D0D7E2"/>
              <w:left w:val="single" w:sz="4" w:space="0" w:color="D0D7E2"/>
              <w:bottom w:val="single" w:sz="4" w:space="0" w:color="D0D7E2"/>
              <w:right w:val="single" w:sz="4" w:space="0" w:color="D0D7E2"/>
            </w:tcBorders>
            <w:shd w:val="clear" w:color="auto" w:fill="0F2440"/>
            <w:tcMar>
              <w:top w:w="100" w:type="dxa"/>
              <w:left w:w="140" w:type="dxa"/>
              <w:bottom w:w="100" w:type="dxa"/>
              <w:right w:w="140" w:type="dxa"/>
            </w:tcMar>
            <w:vAlign w:val="center"/>
          </w:tcPr>
          <w:p w14:paraId="3BB1B3C3" w14:textId="77777777" w:rsidR="00377E69" w:rsidRDefault="00377E69" w:rsidP="009C0E92">
            <w:pPr>
              <w:jc w:val="center"/>
            </w:pPr>
            <w:r>
              <w:rPr>
                <w:b/>
                <w:bCs/>
                <w:color w:val="FFFFFF"/>
              </w:rPr>
              <w:t>PROGRAM AREA</w:t>
            </w:r>
          </w:p>
        </w:tc>
        <w:tc>
          <w:tcPr>
            <w:tcW w:w="714" w:type="pct"/>
            <w:tcBorders>
              <w:top w:val="single" w:sz="4" w:space="0" w:color="D0D7E2"/>
              <w:left w:val="single" w:sz="4" w:space="0" w:color="D0D7E2"/>
              <w:bottom w:val="single" w:sz="4" w:space="0" w:color="D0D7E2"/>
              <w:right w:val="single" w:sz="4" w:space="0" w:color="D0D7E2"/>
            </w:tcBorders>
            <w:shd w:val="clear" w:color="auto" w:fill="1F3A5F"/>
            <w:tcMar>
              <w:top w:w="80" w:type="dxa"/>
              <w:left w:w="80" w:type="dxa"/>
              <w:bottom w:w="80" w:type="dxa"/>
              <w:right w:w="80" w:type="dxa"/>
            </w:tcMar>
            <w:vAlign w:val="center"/>
          </w:tcPr>
          <w:p w14:paraId="3696D4ED" w14:textId="77777777" w:rsidR="00377E69" w:rsidRDefault="00377E69" w:rsidP="009C0E92">
            <w:pPr>
              <w:jc w:val="center"/>
            </w:pPr>
            <w:r>
              <w:rPr>
                <w:b/>
                <w:bCs/>
                <w:color w:val="FFFFFF"/>
                <w:sz w:val="17"/>
                <w:szCs w:val="17"/>
              </w:rPr>
              <w:t>2025 – 2027</w:t>
            </w:r>
          </w:p>
          <w:p w14:paraId="537360D0" w14:textId="77777777" w:rsidR="00377E69" w:rsidRDefault="00377E69" w:rsidP="009C0E92">
            <w:pPr>
              <w:jc w:val="center"/>
            </w:pPr>
            <w:r>
              <w:rPr>
                <w:i/>
                <w:iCs/>
                <w:color w:val="FCEFC7"/>
                <w:sz w:val="13"/>
                <w:szCs w:val="13"/>
              </w:rPr>
              <w:t>Cycle 1 begins Spring 2025</w:t>
            </w:r>
          </w:p>
        </w:tc>
        <w:tc>
          <w:tcPr>
            <w:tcW w:w="714" w:type="pct"/>
            <w:tcBorders>
              <w:top w:val="single" w:sz="4" w:space="0" w:color="D0D7E2"/>
              <w:left w:val="single" w:sz="4" w:space="0" w:color="D0D7E2"/>
              <w:bottom w:val="single" w:sz="4" w:space="0" w:color="D0D7E2"/>
              <w:right w:val="single" w:sz="4" w:space="0" w:color="D0D7E2"/>
            </w:tcBorders>
            <w:shd w:val="clear" w:color="auto" w:fill="1F3A5F"/>
            <w:tcMar>
              <w:top w:w="80" w:type="dxa"/>
              <w:left w:w="80" w:type="dxa"/>
              <w:bottom w:w="80" w:type="dxa"/>
              <w:right w:w="80" w:type="dxa"/>
            </w:tcMar>
            <w:vAlign w:val="center"/>
          </w:tcPr>
          <w:p w14:paraId="0C55E7CD" w14:textId="77777777" w:rsidR="00377E69" w:rsidRDefault="00377E69" w:rsidP="009C0E92">
            <w:pPr>
              <w:jc w:val="center"/>
            </w:pPr>
            <w:r>
              <w:rPr>
                <w:b/>
                <w:bCs/>
                <w:color w:val="FFFFFF"/>
                <w:sz w:val="17"/>
                <w:szCs w:val="17"/>
              </w:rPr>
              <w:t>2026 – 2028</w:t>
            </w:r>
          </w:p>
          <w:p w14:paraId="56AA6DF3" w14:textId="77777777" w:rsidR="00377E69" w:rsidRDefault="00377E69" w:rsidP="009C0E92">
            <w:pPr>
              <w:jc w:val="center"/>
            </w:pPr>
            <w:r>
              <w:rPr>
                <w:i/>
                <w:iCs/>
                <w:color w:val="FCEFC7"/>
                <w:sz w:val="13"/>
                <w:szCs w:val="13"/>
              </w:rPr>
              <w:t>Cycle 1 begins Spring 2026</w:t>
            </w:r>
          </w:p>
        </w:tc>
        <w:tc>
          <w:tcPr>
            <w:tcW w:w="714" w:type="pct"/>
            <w:tcBorders>
              <w:top w:val="single" w:sz="4" w:space="0" w:color="D0D7E2"/>
              <w:left w:val="single" w:sz="4" w:space="0" w:color="D0D7E2"/>
              <w:bottom w:val="single" w:sz="4" w:space="0" w:color="D0D7E2"/>
              <w:right w:val="single" w:sz="4" w:space="0" w:color="D0D7E2"/>
            </w:tcBorders>
            <w:shd w:val="clear" w:color="auto" w:fill="1F3A5F"/>
            <w:tcMar>
              <w:top w:w="80" w:type="dxa"/>
              <w:left w:w="80" w:type="dxa"/>
              <w:bottom w:w="80" w:type="dxa"/>
              <w:right w:w="80" w:type="dxa"/>
            </w:tcMar>
            <w:vAlign w:val="center"/>
          </w:tcPr>
          <w:p w14:paraId="6348F23F" w14:textId="77777777" w:rsidR="00377E69" w:rsidRDefault="00377E69" w:rsidP="009C0E92">
            <w:pPr>
              <w:jc w:val="center"/>
            </w:pPr>
            <w:r>
              <w:rPr>
                <w:b/>
                <w:bCs/>
                <w:color w:val="FFFFFF"/>
                <w:sz w:val="17"/>
                <w:szCs w:val="17"/>
              </w:rPr>
              <w:t>2027 – 2029</w:t>
            </w:r>
          </w:p>
          <w:p w14:paraId="0082351B" w14:textId="77777777" w:rsidR="00377E69" w:rsidRDefault="00377E69" w:rsidP="009C0E92">
            <w:pPr>
              <w:jc w:val="center"/>
            </w:pPr>
            <w:r>
              <w:rPr>
                <w:i/>
                <w:iCs/>
                <w:color w:val="FCEFC7"/>
                <w:sz w:val="13"/>
                <w:szCs w:val="13"/>
              </w:rPr>
              <w:t>Cycle 1 begins Spring 2027</w:t>
            </w:r>
          </w:p>
        </w:tc>
        <w:tc>
          <w:tcPr>
            <w:tcW w:w="714" w:type="pct"/>
            <w:tcBorders>
              <w:top w:val="single" w:sz="4" w:space="0" w:color="D0D7E2"/>
              <w:left w:val="single" w:sz="4" w:space="0" w:color="D0D7E2"/>
              <w:bottom w:val="single" w:sz="4" w:space="0" w:color="D0D7E2"/>
              <w:right w:val="single" w:sz="4" w:space="0" w:color="D0D7E2"/>
            </w:tcBorders>
            <w:shd w:val="clear" w:color="auto" w:fill="1F3A5F"/>
            <w:tcMar>
              <w:top w:w="80" w:type="dxa"/>
              <w:left w:w="80" w:type="dxa"/>
              <w:bottom w:w="80" w:type="dxa"/>
              <w:right w:w="80" w:type="dxa"/>
            </w:tcMar>
            <w:vAlign w:val="center"/>
          </w:tcPr>
          <w:p w14:paraId="1E3BF499" w14:textId="77777777" w:rsidR="00377E69" w:rsidRDefault="00377E69" w:rsidP="009C0E92">
            <w:pPr>
              <w:jc w:val="center"/>
            </w:pPr>
            <w:r>
              <w:rPr>
                <w:b/>
                <w:bCs/>
                <w:color w:val="FFFFFF"/>
                <w:sz w:val="17"/>
                <w:szCs w:val="17"/>
              </w:rPr>
              <w:t>2028 – 2030</w:t>
            </w:r>
          </w:p>
          <w:p w14:paraId="7D23565D" w14:textId="77777777" w:rsidR="00377E69" w:rsidRDefault="00377E69" w:rsidP="009C0E92">
            <w:pPr>
              <w:jc w:val="center"/>
            </w:pPr>
            <w:r>
              <w:rPr>
                <w:i/>
                <w:iCs/>
                <w:color w:val="FCEFC7"/>
                <w:sz w:val="13"/>
                <w:szCs w:val="13"/>
              </w:rPr>
              <w:t>Cycle 1 begins Spring 2028</w:t>
            </w:r>
          </w:p>
        </w:tc>
        <w:tc>
          <w:tcPr>
            <w:tcW w:w="714" w:type="pct"/>
            <w:tcBorders>
              <w:top w:val="single" w:sz="4" w:space="0" w:color="D0D7E2"/>
              <w:left w:val="single" w:sz="4" w:space="0" w:color="D0D7E2"/>
              <w:bottom w:val="single" w:sz="4" w:space="0" w:color="D0D7E2"/>
              <w:right w:val="single" w:sz="4" w:space="0" w:color="D0D7E2"/>
            </w:tcBorders>
            <w:shd w:val="clear" w:color="auto" w:fill="1F3A5F"/>
            <w:tcMar>
              <w:top w:w="80" w:type="dxa"/>
              <w:left w:w="80" w:type="dxa"/>
              <w:bottom w:w="80" w:type="dxa"/>
              <w:right w:w="80" w:type="dxa"/>
            </w:tcMar>
            <w:vAlign w:val="center"/>
          </w:tcPr>
          <w:p w14:paraId="4FB52FBF" w14:textId="77777777" w:rsidR="00377E69" w:rsidRDefault="00377E69" w:rsidP="009C0E92">
            <w:pPr>
              <w:jc w:val="center"/>
            </w:pPr>
            <w:r>
              <w:rPr>
                <w:b/>
                <w:bCs/>
                <w:color w:val="FFFFFF"/>
                <w:sz w:val="17"/>
                <w:szCs w:val="17"/>
              </w:rPr>
              <w:t>2029 – 2031</w:t>
            </w:r>
          </w:p>
          <w:p w14:paraId="74F5A1A7" w14:textId="77777777" w:rsidR="00377E69" w:rsidRDefault="00377E69" w:rsidP="009C0E92">
            <w:pPr>
              <w:jc w:val="center"/>
            </w:pPr>
            <w:r>
              <w:rPr>
                <w:i/>
                <w:iCs/>
                <w:color w:val="FCEFC7"/>
                <w:sz w:val="13"/>
                <w:szCs w:val="13"/>
              </w:rPr>
              <w:t>Cycle 1 + 2 begins Spring 2029</w:t>
            </w:r>
          </w:p>
        </w:tc>
        <w:tc>
          <w:tcPr>
            <w:tcW w:w="714" w:type="pct"/>
            <w:tcBorders>
              <w:top w:val="single" w:sz="4" w:space="0" w:color="D0D7E2"/>
              <w:left w:val="single" w:sz="4" w:space="0" w:color="D0D7E2"/>
              <w:bottom w:val="single" w:sz="4" w:space="0" w:color="D0D7E2"/>
              <w:right w:val="single" w:sz="4" w:space="0" w:color="D0D7E2"/>
            </w:tcBorders>
            <w:shd w:val="clear" w:color="auto" w:fill="1F3A5F"/>
            <w:tcMar>
              <w:top w:w="80" w:type="dxa"/>
              <w:left w:w="80" w:type="dxa"/>
              <w:bottom w:w="80" w:type="dxa"/>
              <w:right w:w="80" w:type="dxa"/>
            </w:tcMar>
            <w:vAlign w:val="center"/>
          </w:tcPr>
          <w:p w14:paraId="0E4779C2" w14:textId="77777777" w:rsidR="00377E69" w:rsidRDefault="00377E69" w:rsidP="009C0E92">
            <w:pPr>
              <w:jc w:val="center"/>
            </w:pPr>
            <w:r>
              <w:rPr>
                <w:b/>
                <w:bCs/>
                <w:color w:val="FFFFFF"/>
                <w:sz w:val="17"/>
                <w:szCs w:val="17"/>
              </w:rPr>
              <w:t>2030 – 2032</w:t>
            </w:r>
          </w:p>
          <w:p w14:paraId="6716C524" w14:textId="77777777" w:rsidR="00377E69" w:rsidRDefault="00377E69" w:rsidP="009C0E92">
            <w:pPr>
              <w:jc w:val="center"/>
            </w:pPr>
            <w:r>
              <w:rPr>
                <w:i/>
                <w:iCs/>
                <w:color w:val="FCEFC7"/>
                <w:sz w:val="13"/>
                <w:szCs w:val="13"/>
              </w:rPr>
              <w:t>Cycle 2 begins Spring 2030</w:t>
            </w:r>
          </w:p>
        </w:tc>
      </w:tr>
      <w:tr w:rsidR="00377E69" w14:paraId="4610E86D" w14:textId="77777777" w:rsidTr="00356559">
        <w:tc>
          <w:tcPr>
            <w:tcW w:w="714" w:type="pct"/>
            <w:vMerge w:val="restart"/>
            <w:tcBorders>
              <w:top w:val="single" w:sz="4" w:space="0" w:color="D0D7E2"/>
              <w:left w:val="single" w:sz="4" w:space="0" w:color="D0D7E2"/>
              <w:right w:val="single" w:sz="4" w:space="0" w:color="D0D7E2"/>
            </w:tcBorders>
            <w:shd w:val="clear" w:color="auto" w:fill="D9F2D0" w:themeFill="accent6" w:themeFillTint="33"/>
            <w:tcMar>
              <w:top w:w="80" w:type="dxa"/>
              <w:left w:w="140" w:type="dxa"/>
              <w:bottom w:w="80" w:type="dxa"/>
              <w:right w:w="140" w:type="dxa"/>
            </w:tcMar>
            <w:vAlign w:val="center"/>
          </w:tcPr>
          <w:p w14:paraId="6427BB95" w14:textId="77777777" w:rsidR="00377E69" w:rsidRDefault="00377E69" w:rsidP="005E460D">
            <w:r>
              <w:rPr>
                <w:b/>
                <w:bCs/>
                <w:color w:val="0F2440"/>
                <w:sz w:val="17"/>
                <w:szCs w:val="17"/>
              </w:rPr>
              <w:t>Arts, Science and Management</w:t>
            </w:r>
          </w:p>
        </w:tc>
        <w:tc>
          <w:tcPr>
            <w:tcW w:w="714" w:type="pct"/>
            <w:tcBorders>
              <w:top w:val="single" w:sz="4" w:space="0" w:color="D0D7E2"/>
              <w:left w:val="single" w:sz="4" w:space="0" w:color="D0D7E2"/>
              <w:bottom w:val="single" w:sz="4" w:space="0" w:color="D0D7E2"/>
              <w:right w:val="single" w:sz="4" w:space="0" w:color="D0D7E2"/>
            </w:tcBorders>
            <w:shd w:val="clear" w:color="auto" w:fill="D9F2D0" w:themeFill="accent6" w:themeFillTint="33"/>
            <w:tcMar>
              <w:top w:w="80" w:type="dxa"/>
              <w:left w:w="60" w:type="dxa"/>
              <w:bottom w:w="80" w:type="dxa"/>
              <w:right w:w="60" w:type="dxa"/>
            </w:tcMar>
            <w:vAlign w:val="center"/>
          </w:tcPr>
          <w:p w14:paraId="2C07EF49" w14:textId="77777777" w:rsidR="00377E69" w:rsidRDefault="00377E69" w:rsidP="005E460D">
            <w:pPr>
              <w:jc w:val="center"/>
            </w:pPr>
          </w:p>
        </w:tc>
        <w:tc>
          <w:tcPr>
            <w:tcW w:w="714" w:type="pct"/>
            <w:tcBorders>
              <w:top w:val="single" w:sz="4" w:space="0" w:color="D0D7E2"/>
              <w:left w:val="single" w:sz="4" w:space="0" w:color="D0D7E2"/>
              <w:bottom w:val="single" w:sz="4" w:space="0" w:color="D0D7E2"/>
              <w:right w:val="single" w:sz="4" w:space="0" w:color="D0D7E2"/>
            </w:tcBorders>
            <w:shd w:val="clear" w:color="auto" w:fill="D9F2D0" w:themeFill="accent6" w:themeFillTint="33"/>
            <w:tcMar>
              <w:top w:w="80" w:type="dxa"/>
              <w:left w:w="60" w:type="dxa"/>
              <w:bottom w:w="80" w:type="dxa"/>
              <w:right w:w="60" w:type="dxa"/>
            </w:tcMar>
            <w:vAlign w:val="center"/>
          </w:tcPr>
          <w:p w14:paraId="47738455" w14:textId="77777777" w:rsidR="00377E69" w:rsidRDefault="00377E69" w:rsidP="005E460D">
            <w:pPr>
              <w:jc w:val="center"/>
            </w:pPr>
            <w:r>
              <w:rPr>
                <w:color w:val="0F2440"/>
                <w:sz w:val="15"/>
                <w:szCs w:val="15"/>
              </w:rPr>
              <w:t>Adult Basic Education</w:t>
            </w:r>
          </w:p>
        </w:tc>
        <w:tc>
          <w:tcPr>
            <w:tcW w:w="714" w:type="pct"/>
            <w:tcBorders>
              <w:top w:val="single" w:sz="4" w:space="0" w:color="D0D7E2"/>
              <w:left w:val="single" w:sz="4" w:space="0" w:color="D0D7E2"/>
              <w:bottom w:val="single" w:sz="4" w:space="0" w:color="D0D7E2"/>
              <w:right w:val="single" w:sz="4" w:space="0" w:color="D0D7E2"/>
            </w:tcBorders>
            <w:shd w:val="clear" w:color="auto" w:fill="D9F2D0" w:themeFill="accent6" w:themeFillTint="33"/>
            <w:tcMar>
              <w:top w:w="80" w:type="dxa"/>
              <w:left w:w="60" w:type="dxa"/>
              <w:bottom w:w="80" w:type="dxa"/>
              <w:right w:w="60" w:type="dxa"/>
            </w:tcMar>
            <w:vAlign w:val="center"/>
          </w:tcPr>
          <w:p w14:paraId="35A88F4A" w14:textId="77777777" w:rsidR="00377E69" w:rsidRDefault="00377E69" w:rsidP="005E460D">
            <w:pPr>
              <w:jc w:val="center"/>
            </w:pPr>
            <w:r>
              <w:rPr>
                <w:color w:val="0F2440"/>
                <w:sz w:val="15"/>
                <w:szCs w:val="15"/>
              </w:rPr>
              <w:t>Criminology</w:t>
            </w:r>
          </w:p>
        </w:tc>
        <w:tc>
          <w:tcPr>
            <w:tcW w:w="714" w:type="pct"/>
            <w:tcBorders>
              <w:top w:val="single" w:sz="4" w:space="0" w:color="D0D7E2"/>
              <w:left w:val="single" w:sz="4" w:space="0" w:color="D0D7E2"/>
              <w:bottom w:val="single" w:sz="4" w:space="0" w:color="D0D7E2"/>
              <w:right w:val="single" w:sz="4" w:space="0" w:color="D0D7E2"/>
            </w:tcBorders>
            <w:shd w:val="clear" w:color="auto" w:fill="D9F2D0" w:themeFill="accent6" w:themeFillTint="33"/>
            <w:tcMar>
              <w:top w:w="80" w:type="dxa"/>
              <w:left w:w="60" w:type="dxa"/>
              <w:bottom w:w="80" w:type="dxa"/>
              <w:right w:w="60" w:type="dxa"/>
            </w:tcMar>
            <w:vAlign w:val="center"/>
          </w:tcPr>
          <w:p w14:paraId="1E8DDEA1" w14:textId="77777777" w:rsidR="00377E69" w:rsidRDefault="00377E69" w:rsidP="005E460D">
            <w:pPr>
              <w:jc w:val="center"/>
            </w:pPr>
            <w:r>
              <w:rPr>
                <w:color w:val="0F2440"/>
                <w:sz w:val="15"/>
                <w:szCs w:val="15"/>
              </w:rPr>
              <w:t>Business Administration</w:t>
            </w:r>
          </w:p>
        </w:tc>
        <w:tc>
          <w:tcPr>
            <w:tcW w:w="714" w:type="pct"/>
            <w:tcBorders>
              <w:top w:val="single" w:sz="4" w:space="0" w:color="D0D7E2"/>
              <w:left w:val="single" w:sz="4" w:space="0" w:color="D0D7E2"/>
              <w:bottom w:val="single" w:sz="4" w:space="0" w:color="D0D7E2"/>
              <w:right w:val="single" w:sz="4" w:space="0" w:color="D0D7E2"/>
            </w:tcBorders>
            <w:shd w:val="clear" w:color="auto" w:fill="D9F2D0" w:themeFill="accent6" w:themeFillTint="33"/>
            <w:tcMar>
              <w:top w:w="80" w:type="dxa"/>
              <w:left w:w="60" w:type="dxa"/>
              <w:bottom w:w="80" w:type="dxa"/>
              <w:right w:w="60" w:type="dxa"/>
            </w:tcMar>
            <w:vAlign w:val="center"/>
          </w:tcPr>
          <w:p w14:paraId="43A28AAC" w14:textId="7BFC9E1A" w:rsidR="00377E69" w:rsidRDefault="00377E69" w:rsidP="005E460D">
            <w:pPr>
              <w:jc w:val="center"/>
            </w:pPr>
            <w:r>
              <w:rPr>
                <w:color w:val="0F2440"/>
                <w:sz w:val="15"/>
                <w:szCs w:val="15"/>
              </w:rPr>
              <w:t>Engineering</w:t>
            </w:r>
          </w:p>
        </w:tc>
        <w:tc>
          <w:tcPr>
            <w:tcW w:w="714" w:type="pct"/>
            <w:tcBorders>
              <w:top w:val="single" w:sz="4" w:space="0" w:color="D0D7E2"/>
              <w:left w:val="single" w:sz="4" w:space="0" w:color="D0D7E2"/>
              <w:bottom w:val="single" w:sz="4" w:space="0" w:color="D0D7E2"/>
              <w:right w:val="single" w:sz="4" w:space="0" w:color="D0D7E2"/>
            </w:tcBorders>
            <w:shd w:val="clear" w:color="auto" w:fill="D9F2D0" w:themeFill="accent6" w:themeFillTint="33"/>
            <w:tcMar>
              <w:top w:w="80" w:type="dxa"/>
              <w:left w:w="60" w:type="dxa"/>
              <w:bottom w:w="80" w:type="dxa"/>
              <w:right w:w="60" w:type="dxa"/>
            </w:tcMar>
            <w:vAlign w:val="center"/>
          </w:tcPr>
          <w:p w14:paraId="4DAECD90" w14:textId="77777777" w:rsidR="00377E69" w:rsidRDefault="00377E69" w:rsidP="005E460D">
            <w:pPr>
              <w:jc w:val="center"/>
            </w:pPr>
            <w:r>
              <w:rPr>
                <w:color w:val="0F2440"/>
                <w:sz w:val="15"/>
                <w:szCs w:val="15"/>
              </w:rPr>
              <w:t>Humanities &amp; Social Sciences</w:t>
            </w:r>
          </w:p>
        </w:tc>
      </w:tr>
      <w:tr w:rsidR="00377E69" w14:paraId="161601F0" w14:textId="77777777" w:rsidTr="00356559">
        <w:tc>
          <w:tcPr>
            <w:tcW w:w="714" w:type="pct"/>
            <w:vMerge/>
            <w:tcBorders>
              <w:left w:val="single" w:sz="4" w:space="0" w:color="D0D7E2"/>
              <w:bottom w:val="single" w:sz="4" w:space="0" w:color="D0D7E2"/>
              <w:right w:val="single" w:sz="4" w:space="0" w:color="D0D7E2"/>
            </w:tcBorders>
            <w:shd w:val="clear" w:color="auto" w:fill="D9F2D0" w:themeFill="accent6" w:themeFillTint="33"/>
          </w:tcPr>
          <w:p w14:paraId="11B172A5" w14:textId="77777777" w:rsidR="00377E69" w:rsidRDefault="00377E69" w:rsidP="005E460D"/>
        </w:tc>
        <w:tc>
          <w:tcPr>
            <w:tcW w:w="714" w:type="pct"/>
            <w:tcBorders>
              <w:top w:val="single" w:sz="4" w:space="0" w:color="D0D7E2"/>
              <w:left w:val="single" w:sz="4" w:space="0" w:color="D0D7E2"/>
              <w:bottom w:val="single" w:sz="4" w:space="0" w:color="D0D7E2"/>
              <w:right w:val="single" w:sz="4" w:space="0" w:color="D0D7E2"/>
            </w:tcBorders>
            <w:shd w:val="clear" w:color="auto" w:fill="D9F2D0" w:themeFill="accent6" w:themeFillTint="33"/>
            <w:tcMar>
              <w:top w:w="80" w:type="dxa"/>
              <w:left w:w="60" w:type="dxa"/>
              <w:bottom w:w="80" w:type="dxa"/>
              <w:right w:w="60" w:type="dxa"/>
            </w:tcMar>
            <w:vAlign w:val="center"/>
          </w:tcPr>
          <w:p w14:paraId="323003D0" w14:textId="77777777" w:rsidR="00377E69" w:rsidRDefault="00377E69" w:rsidP="005E460D">
            <w:pPr>
              <w:jc w:val="center"/>
            </w:pPr>
          </w:p>
        </w:tc>
        <w:tc>
          <w:tcPr>
            <w:tcW w:w="714" w:type="pct"/>
            <w:tcBorders>
              <w:top w:val="single" w:sz="4" w:space="0" w:color="D0D7E2"/>
              <w:left w:val="single" w:sz="4" w:space="0" w:color="D0D7E2"/>
              <w:bottom w:val="single" w:sz="4" w:space="0" w:color="D0D7E2"/>
              <w:right w:val="single" w:sz="4" w:space="0" w:color="D0D7E2"/>
            </w:tcBorders>
            <w:shd w:val="clear" w:color="auto" w:fill="D9F2D0" w:themeFill="accent6" w:themeFillTint="33"/>
            <w:tcMar>
              <w:top w:w="60" w:type="dxa"/>
              <w:left w:w="60" w:type="dxa"/>
              <w:bottom w:w="60" w:type="dxa"/>
              <w:right w:w="60" w:type="dxa"/>
            </w:tcMar>
            <w:vAlign w:val="center"/>
          </w:tcPr>
          <w:p w14:paraId="770F0984" w14:textId="77777777" w:rsidR="00377E69" w:rsidRDefault="00377E69" w:rsidP="005E460D">
            <w:pPr>
              <w:jc w:val="center"/>
            </w:pPr>
            <w:r>
              <w:rPr>
                <w:color w:val="0F2440"/>
                <w:sz w:val="15"/>
                <w:szCs w:val="15"/>
              </w:rPr>
              <w:t>Office Administration</w:t>
            </w:r>
          </w:p>
          <w:p w14:paraId="16ED0DAF" w14:textId="77777777" w:rsidR="00377E69" w:rsidRDefault="00377E69" w:rsidP="005E460D">
            <w:pPr>
              <w:jc w:val="center"/>
            </w:pPr>
            <w:r>
              <w:rPr>
                <w:i/>
                <w:iCs/>
                <w:color w:val="707070"/>
                <w:sz w:val="12"/>
                <w:szCs w:val="12"/>
              </w:rPr>
              <w:t>(new date)</w:t>
            </w:r>
          </w:p>
        </w:tc>
        <w:tc>
          <w:tcPr>
            <w:tcW w:w="714" w:type="pct"/>
            <w:tcBorders>
              <w:top w:val="single" w:sz="4" w:space="0" w:color="D0D7E2"/>
              <w:left w:val="single" w:sz="4" w:space="0" w:color="D0D7E2"/>
              <w:bottom w:val="single" w:sz="4" w:space="0" w:color="D0D7E2"/>
              <w:right w:val="single" w:sz="4" w:space="0" w:color="D0D7E2"/>
            </w:tcBorders>
            <w:shd w:val="clear" w:color="auto" w:fill="D9F2D0" w:themeFill="accent6" w:themeFillTint="33"/>
            <w:tcMar>
              <w:top w:w="80" w:type="dxa"/>
              <w:left w:w="60" w:type="dxa"/>
              <w:bottom w:w="80" w:type="dxa"/>
              <w:right w:w="60" w:type="dxa"/>
            </w:tcMar>
            <w:vAlign w:val="center"/>
          </w:tcPr>
          <w:p w14:paraId="1F32A873" w14:textId="77777777" w:rsidR="00377E69" w:rsidRDefault="00377E69" w:rsidP="005E460D">
            <w:pPr>
              <w:jc w:val="center"/>
            </w:pPr>
          </w:p>
        </w:tc>
        <w:tc>
          <w:tcPr>
            <w:tcW w:w="714" w:type="pct"/>
            <w:tcBorders>
              <w:top w:val="single" w:sz="4" w:space="0" w:color="D0D7E2"/>
              <w:left w:val="single" w:sz="4" w:space="0" w:color="D0D7E2"/>
              <w:bottom w:val="single" w:sz="4" w:space="0" w:color="D0D7E2"/>
              <w:right w:val="single" w:sz="4" w:space="0" w:color="D0D7E2"/>
            </w:tcBorders>
            <w:shd w:val="clear" w:color="auto" w:fill="D9F2D0" w:themeFill="accent6" w:themeFillTint="33"/>
            <w:tcMar>
              <w:top w:w="60" w:type="dxa"/>
              <w:left w:w="60" w:type="dxa"/>
              <w:bottom w:w="60" w:type="dxa"/>
              <w:right w:w="60" w:type="dxa"/>
            </w:tcMar>
            <w:vAlign w:val="center"/>
          </w:tcPr>
          <w:p w14:paraId="26B0C295" w14:textId="063274A3" w:rsidR="00377E69" w:rsidRDefault="00377E69" w:rsidP="005E460D">
            <w:pPr>
              <w:jc w:val="center"/>
            </w:pPr>
          </w:p>
        </w:tc>
        <w:tc>
          <w:tcPr>
            <w:tcW w:w="714" w:type="pct"/>
            <w:tcBorders>
              <w:top w:val="single" w:sz="4" w:space="0" w:color="D0D7E2"/>
              <w:left w:val="single" w:sz="4" w:space="0" w:color="D0D7E2"/>
              <w:bottom w:val="single" w:sz="4" w:space="0" w:color="D0D7E2"/>
              <w:right w:val="single" w:sz="4" w:space="0" w:color="D0D7E2"/>
            </w:tcBorders>
            <w:shd w:val="clear" w:color="auto" w:fill="D9F2D0" w:themeFill="accent6" w:themeFillTint="33"/>
            <w:tcMar>
              <w:top w:w="80" w:type="dxa"/>
              <w:left w:w="60" w:type="dxa"/>
              <w:bottom w:w="80" w:type="dxa"/>
              <w:right w:w="60" w:type="dxa"/>
            </w:tcMar>
            <w:vAlign w:val="center"/>
          </w:tcPr>
          <w:p w14:paraId="6625A86A" w14:textId="254A4521" w:rsidR="00377E69" w:rsidRDefault="00377E69" w:rsidP="005E460D">
            <w:pPr>
              <w:jc w:val="center"/>
            </w:pPr>
            <w:r>
              <w:rPr>
                <w:color w:val="0F2440"/>
                <w:sz w:val="15"/>
                <w:szCs w:val="15"/>
              </w:rPr>
              <w:t>Math &amp; Science</w:t>
            </w:r>
          </w:p>
        </w:tc>
        <w:tc>
          <w:tcPr>
            <w:tcW w:w="714" w:type="pct"/>
            <w:tcBorders>
              <w:top w:val="single" w:sz="4" w:space="0" w:color="D0D7E2"/>
              <w:left w:val="single" w:sz="4" w:space="0" w:color="D0D7E2"/>
              <w:bottom w:val="single" w:sz="4" w:space="0" w:color="D0D7E2"/>
              <w:right w:val="single" w:sz="4" w:space="0" w:color="D0D7E2"/>
            </w:tcBorders>
            <w:shd w:val="clear" w:color="auto" w:fill="D9F2D0" w:themeFill="accent6" w:themeFillTint="33"/>
            <w:tcMar>
              <w:top w:w="80" w:type="dxa"/>
              <w:left w:w="60" w:type="dxa"/>
              <w:bottom w:w="80" w:type="dxa"/>
              <w:right w:w="60" w:type="dxa"/>
            </w:tcMar>
            <w:vAlign w:val="center"/>
          </w:tcPr>
          <w:p w14:paraId="58B13F4B" w14:textId="77777777" w:rsidR="00377E69" w:rsidRDefault="00377E69" w:rsidP="005E460D">
            <w:pPr>
              <w:jc w:val="center"/>
            </w:pPr>
            <w:r>
              <w:rPr>
                <w:color w:val="0F2440"/>
                <w:sz w:val="15"/>
                <w:szCs w:val="15"/>
              </w:rPr>
              <w:t>Digital Design + Development</w:t>
            </w:r>
          </w:p>
          <w:p w14:paraId="4DBAE5FD" w14:textId="22D61549" w:rsidR="00377E69" w:rsidRDefault="00377E69" w:rsidP="005E460D">
            <w:pPr>
              <w:jc w:val="center"/>
            </w:pPr>
            <w:r>
              <w:rPr>
                <w:i/>
                <w:iCs/>
                <w:color w:val="707070"/>
                <w:sz w:val="12"/>
                <w:szCs w:val="12"/>
              </w:rPr>
              <w:t>(tentative)</w:t>
            </w:r>
          </w:p>
        </w:tc>
      </w:tr>
      <w:tr w:rsidR="00377E69" w14:paraId="01BE546F" w14:textId="77777777" w:rsidTr="00356559">
        <w:tc>
          <w:tcPr>
            <w:tcW w:w="714" w:type="pct"/>
            <w:vMerge w:val="restart"/>
            <w:tcBorders>
              <w:top w:val="single" w:sz="4" w:space="0" w:color="D0D7E2"/>
              <w:left w:val="single" w:sz="4" w:space="0" w:color="D0D7E2"/>
              <w:bottom w:val="single" w:sz="4" w:space="0" w:color="D0D7E2"/>
              <w:right w:val="single" w:sz="4" w:space="0" w:color="D0D7E2"/>
            </w:tcBorders>
            <w:shd w:val="clear" w:color="auto" w:fill="CAEDFB" w:themeFill="accent4" w:themeFillTint="33"/>
            <w:tcMar>
              <w:top w:w="80" w:type="dxa"/>
              <w:left w:w="140" w:type="dxa"/>
              <w:bottom w:w="80" w:type="dxa"/>
              <w:right w:w="140" w:type="dxa"/>
            </w:tcMar>
            <w:vAlign w:val="center"/>
          </w:tcPr>
          <w:p w14:paraId="785F1AC1" w14:textId="77777777" w:rsidR="00377E69" w:rsidRDefault="00377E69" w:rsidP="005E460D">
            <w:r>
              <w:rPr>
                <w:b/>
                <w:bCs/>
                <w:color w:val="0F2440"/>
                <w:sz w:val="17"/>
                <w:szCs w:val="17"/>
              </w:rPr>
              <w:t>Health and Human Services</w:t>
            </w:r>
          </w:p>
        </w:tc>
        <w:tc>
          <w:tcPr>
            <w:tcW w:w="714" w:type="pct"/>
            <w:tcBorders>
              <w:top w:val="single" w:sz="4" w:space="0" w:color="D0D7E2"/>
              <w:left w:val="single" w:sz="4" w:space="0" w:color="D0D7E2"/>
              <w:bottom w:val="single" w:sz="4" w:space="0" w:color="D0D7E2"/>
              <w:right w:val="single" w:sz="4" w:space="0" w:color="D0D7E2"/>
            </w:tcBorders>
            <w:shd w:val="clear" w:color="auto" w:fill="CAEDFB" w:themeFill="accent4" w:themeFillTint="33"/>
            <w:tcMar>
              <w:top w:w="80" w:type="dxa"/>
              <w:left w:w="60" w:type="dxa"/>
              <w:bottom w:w="80" w:type="dxa"/>
              <w:right w:w="60" w:type="dxa"/>
            </w:tcMar>
            <w:vAlign w:val="center"/>
          </w:tcPr>
          <w:p w14:paraId="56410C93" w14:textId="77777777" w:rsidR="00377E69" w:rsidRDefault="00377E69" w:rsidP="005E460D">
            <w:pPr>
              <w:jc w:val="center"/>
            </w:pPr>
            <w:r>
              <w:rPr>
                <w:color w:val="0F2440"/>
                <w:sz w:val="15"/>
                <w:szCs w:val="15"/>
              </w:rPr>
              <w:t>Health Care Assistant</w:t>
            </w:r>
          </w:p>
        </w:tc>
        <w:tc>
          <w:tcPr>
            <w:tcW w:w="714" w:type="pct"/>
            <w:tcBorders>
              <w:top w:val="single" w:sz="4" w:space="0" w:color="D0D7E2"/>
              <w:left w:val="single" w:sz="4" w:space="0" w:color="D0D7E2"/>
              <w:bottom w:val="single" w:sz="4" w:space="0" w:color="D0D7E2"/>
              <w:right w:val="single" w:sz="4" w:space="0" w:color="D0D7E2"/>
            </w:tcBorders>
            <w:shd w:val="clear" w:color="auto" w:fill="CAEDFB" w:themeFill="accent4" w:themeFillTint="33"/>
            <w:tcMar>
              <w:top w:w="80" w:type="dxa"/>
              <w:left w:w="60" w:type="dxa"/>
              <w:bottom w:w="80" w:type="dxa"/>
              <w:right w:w="60" w:type="dxa"/>
            </w:tcMar>
            <w:vAlign w:val="center"/>
          </w:tcPr>
          <w:p w14:paraId="188C53A6" w14:textId="77777777" w:rsidR="00377E69" w:rsidRDefault="00377E69" w:rsidP="005E460D">
            <w:pPr>
              <w:jc w:val="center"/>
            </w:pPr>
            <w:r>
              <w:rPr>
                <w:color w:val="0F2440"/>
                <w:sz w:val="15"/>
                <w:szCs w:val="15"/>
              </w:rPr>
              <w:t>Early Childhood Care and Education</w:t>
            </w:r>
          </w:p>
        </w:tc>
        <w:tc>
          <w:tcPr>
            <w:tcW w:w="714" w:type="pct"/>
            <w:tcBorders>
              <w:top w:val="single" w:sz="4" w:space="0" w:color="D0D7E2"/>
              <w:left w:val="single" w:sz="4" w:space="0" w:color="D0D7E2"/>
              <w:bottom w:val="single" w:sz="4" w:space="0" w:color="D0D7E2"/>
              <w:right w:val="single" w:sz="4" w:space="0" w:color="D0D7E2"/>
            </w:tcBorders>
            <w:shd w:val="clear" w:color="auto" w:fill="CAEDFB" w:themeFill="accent4" w:themeFillTint="33"/>
            <w:tcMar>
              <w:top w:w="80" w:type="dxa"/>
              <w:left w:w="60" w:type="dxa"/>
              <w:bottom w:w="80" w:type="dxa"/>
              <w:right w:w="60" w:type="dxa"/>
            </w:tcMar>
            <w:vAlign w:val="center"/>
          </w:tcPr>
          <w:p w14:paraId="5A71BE87" w14:textId="77777777" w:rsidR="00377E69" w:rsidRDefault="00377E69" w:rsidP="005E460D">
            <w:pPr>
              <w:jc w:val="center"/>
            </w:pPr>
            <w:r>
              <w:rPr>
                <w:color w:val="0F2440"/>
                <w:sz w:val="15"/>
                <w:szCs w:val="15"/>
              </w:rPr>
              <w:t>Bachelor of Science in Nursing</w:t>
            </w:r>
          </w:p>
        </w:tc>
        <w:tc>
          <w:tcPr>
            <w:tcW w:w="714" w:type="pct"/>
            <w:tcBorders>
              <w:top w:val="single" w:sz="4" w:space="0" w:color="D0D7E2"/>
              <w:left w:val="single" w:sz="4" w:space="0" w:color="D0D7E2"/>
              <w:bottom w:val="single" w:sz="4" w:space="0" w:color="D0D7E2"/>
              <w:right w:val="single" w:sz="4" w:space="0" w:color="D0D7E2"/>
            </w:tcBorders>
            <w:shd w:val="clear" w:color="auto" w:fill="CAEDFB" w:themeFill="accent4" w:themeFillTint="33"/>
            <w:tcMar>
              <w:top w:w="80" w:type="dxa"/>
              <w:left w:w="60" w:type="dxa"/>
              <w:bottom w:w="80" w:type="dxa"/>
              <w:right w:w="60" w:type="dxa"/>
            </w:tcMar>
            <w:vAlign w:val="center"/>
          </w:tcPr>
          <w:p w14:paraId="58A715DC" w14:textId="77777777" w:rsidR="00377E69" w:rsidRDefault="00377E69" w:rsidP="005E460D">
            <w:pPr>
              <w:jc w:val="center"/>
            </w:pPr>
          </w:p>
        </w:tc>
        <w:tc>
          <w:tcPr>
            <w:tcW w:w="714" w:type="pct"/>
            <w:tcBorders>
              <w:top w:val="single" w:sz="4" w:space="0" w:color="D0D7E2"/>
              <w:left w:val="single" w:sz="4" w:space="0" w:color="D0D7E2"/>
              <w:bottom w:val="single" w:sz="4" w:space="0" w:color="D0D7E2"/>
              <w:right w:val="single" w:sz="4" w:space="0" w:color="D0D7E2"/>
            </w:tcBorders>
            <w:shd w:val="clear" w:color="auto" w:fill="CAEDFB" w:themeFill="accent4" w:themeFillTint="33"/>
            <w:tcMar>
              <w:top w:w="80" w:type="dxa"/>
              <w:left w:w="60" w:type="dxa"/>
              <w:bottom w:w="80" w:type="dxa"/>
              <w:right w:w="60" w:type="dxa"/>
            </w:tcMar>
            <w:vAlign w:val="center"/>
          </w:tcPr>
          <w:p w14:paraId="1CFE8A71" w14:textId="77777777" w:rsidR="00377E69" w:rsidRDefault="00377E69" w:rsidP="005E460D">
            <w:pPr>
              <w:jc w:val="center"/>
            </w:pPr>
            <w:r>
              <w:rPr>
                <w:color w:val="0F2440"/>
                <w:sz w:val="15"/>
                <w:szCs w:val="15"/>
              </w:rPr>
              <w:t>Accessible Education and Training</w:t>
            </w:r>
          </w:p>
        </w:tc>
        <w:tc>
          <w:tcPr>
            <w:tcW w:w="714" w:type="pct"/>
            <w:tcBorders>
              <w:top w:val="single" w:sz="4" w:space="0" w:color="D0D7E2"/>
              <w:left w:val="single" w:sz="4" w:space="0" w:color="D0D7E2"/>
              <w:bottom w:val="single" w:sz="4" w:space="0" w:color="D0D7E2"/>
              <w:right w:val="single" w:sz="4" w:space="0" w:color="D0D7E2"/>
            </w:tcBorders>
            <w:shd w:val="clear" w:color="auto" w:fill="CAEDFB" w:themeFill="accent4" w:themeFillTint="33"/>
            <w:tcMar>
              <w:top w:w="80" w:type="dxa"/>
              <w:left w:w="60" w:type="dxa"/>
              <w:bottom w:w="80" w:type="dxa"/>
              <w:right w:w="60" w:type="dxa"/>
            </w:tcMar>
            <w:vAlign w:val="center"/>
          </w:tcPr>
          <w:p w14:paraId="6C11CBA4" w14:textId="77777777" w:rsidR="00377E69" w:rsidRDefault="00377E69" w:rsidP="005E460D">
            <w:pPr>
              <w:jc w:val="center"/>
            </w:pPr>
            <w:r>
              <w:rPr>
                <w:color w:val="0F2440"/>
                <w:sz w:val="15"/>
                <w:szCs w:val="15"/>
              </w:rPr>
              <w:t>Human Services</w:t>
            </w:r>
          </w:p>
        </w:tc>
      </w:tr>
      <w:tr w:rsidR="00377E69" w14:paraId="2C2895CC" w14:textId="77777777" w:rsidTr="00356559">
        <w:tc>
          <w:tcPr>
            <w:tcW w:w="714" w:type="pct"/>
            <w:vMerge/>
            <w:tcBorders>
              <w:top w:val="single" w:sz="4" w:space="0" w:color="D0D7E2"/>
              <w:left w:val="single" w:sz="4" w:space="0" w:color="D0D7E2"/>
              <w:bottom w:val="single" w:sz="4" w:space="0" w:color="D0D7E2"/>
              <w:right w:val="single" w:sz="4" w:space="0" w:color="D0D7E2"/>
            </w:tcBorders>
            <w:shd w:val="clear" w:color="auto" w:fill="CAEDFB" w:themeFill="accent4" w:themeFillTint="33"/>
          </w:tcPr>
          <w:p w14:paraId="7DB9D18E" w14:textId="77777777" w:rsidR="00377E69" w:rsidRDefault="00377E69" w:rsidP="005E460D"/>
        </w:tc>
        <w:tc>
          <w:tcPr>
            <w:tcW w:w="714" w:type="pct"/>
            <w:tcBorders>
              <w:top w:val="single" w:sz="4" w:space="0" w:color="D0D7E2"/>
              <w:left w:val="single" w:sz="4" w:space="0" w:color="D0D7E2"/>
              <w:bottom w:val="single" w:sz="4" w:space="0" w:color="D0D7E2"/>
              <w:right w:val="single" w:sz="4" w:space="0" w:color="D0D7E2"/>
            </w:tcBorders>
            <w:shd w:val="clear" w:color="auto" w:fill="CAEDFB" w:themeFill="accent4" w:themeFillTint="33"/>
            <w:tcMar>
              <w:top w:w="80" w:type="dxa"/>
              <w:left w:w="60" w:type="dxa"/>
              <w:bottom w:w="80" w:type="dxa"/>
              <w:right w:w="60" w:type="dxa"/>
            </w:tcMar>
            <w:vAlign w:val="center"/>
          </w:tcPr>
          <w:p w14:paraId="35988678" w14:textId="77777777" w:rsidR="00377E69" w:rsidRDefault="00377E69" w:rsidP="005E460D">
            <w:pPr>
              <w:jc w:val="center"/>
            </w:pPr>
          </w:p>
        </w:tc>
        <w:tc>
          <w:tcPr>
            <w:tcW w:w="714" w:type="pct"/>
            <w:tcBorders>
              <w:top w:val="single" w:sz="4" w:space="0" w:color="D0D7E2"/>
              <w:left w:val="single" w:sz="4" w:space="0" w:color="D0D7E2"/>
              <w:bottom w:val="single" w:sz="4" w:space="0" w:color="D0D7E2"/>
              <w:right w:val="single" w:sz="4" w:space="0" w:color="D0D7E2"/>
            </w:tcBorders>
            <w:shd w:val="clear" w:color="auto" w:fill="CAEDFB" w:themeFill="accent4" w:themeFillTint="33"/>
            <w:tcMar>
              <w:top w:w="80" w:type="dxa"/>
              <w:left w:w="60" w:type="dxa"/>
              <w:bottom w:w="80" w:type="dxa"/>
              <w:right w:w="60" w:type="dxa"/>
            </w:tcMar>
            <w:vAlign w:val="center"/>
          </w:tcPr>
          <w:p w14:paraId="376B75CC" w14:textId="77777777" w:rsidR="00377E69" w:rsidRDefault="00377E69" w:rsidP="005E460D">
            <w:pPr>
              <w:jc w:val="center"/>
            </w:pPr>
          </w:p>
        </w:tc>
        <w:tc>
          <w:tcPr>
            <w:tcW w:w="714" w:type="pct"/>
            <w:tcBorders>
              <w:top w:val="single" w:sz="4" w:space="0" w:color="D0D7E2"/>
              <w:left w:val="single" w:sz="4" w:space="0" w:color="D0D7E2"/>
              <w:bottom w:val="single" w:sz="4" w:space="0" w:color="D0D7E2"/>
              <w:right w:val="single" w:sz="4" w:space="0" w:color="D0D7E2"/>
            </w:tcBorders>
            <w:shd w:val="clear" w:color="auto" w:fill="CAEDFB" w:themeFill="accent4" w:themeFillTint="33"/>
            <w:tcMar>
              <w:top w:w="80" w:type="dxa"/>
              <w:left w:w="60" w:type="dxa"/>
              <w:bottom w:w="80" w:type="dxa"/>
              <w:right w:w="60" w:type="dxa"/>
            </w:tcMar>
            <w:vAlign w:val="center"/>
          </w:tcPr>
          <w:p w14:paraId="3092E289" w14:textId="77777777" w:rsidR="00377E69" w:rsidRDefault="00377E69" w:rsidP="005E460D">
            <w:pPr>
              <w:jc w:val="center"/>
            </w:pPr>
            <w:r>
              <w:rPr>
                <w:color w:val="0F2440"/>
                <w:sz w:val="15"/>
                <w:szCs w:val="15"/>
              </w:rPr>
              <w:t>Practical Nursing</w:t>
            </w:r>
          </w:p>
        </w:tc>
        <w:tc>
          <w:tcPr>
            <w:tcW w:w="714" w:type="pct"/>
            <w:tcBorders>
              <w:top w:val="single" w:sz="4" w:space="0" w:color="D0D7E2"/>
              <w:left w:val="single" w:sz="4" w:space="0" w:color="D0D7E2"/>
              <w:bottom w:val="single" w:sz="4" w:space="0" w:color="D0D7E2"/>
              <w:right w:val="single" w:sz="4" w:space="0" w:color="D0D7E2"/>
            </w:tcBorders>
            <w:shd w:val="clear" w:color="auto" w:fill="CAEDFB" w:themeFill="accent4" w:themeFillTint="33"/>
            <w:tcMar>
              <w:top w:w="80" w:type="dxa"/>
              <w:left w:w="60" w:type="dxa"/>
              <w:bottom w:w="80" w:type="dxa"/>
              <w:right w:w="60" w:type="dxa"/>
            </w:tcMar>
            <w:vAlign w:val="center"/>
          </w:tcPr>
          <w:p w14:paraId="0E0969EE" w14:textId="77777777" w:rsidR="00377E69" w:rsidRDefault="00377E69" w:rsidP="005E460D">
            <w:pPr>
              <w:jc w:val="center"/>
            </w:pPr>
          </w:p>
        </w:tc>
        <w:tc>
          <w:tcPr>
            <w:tcW w:w="714" w:type="pct"/>
            <w:tcBorders>
              <w:top w:val="single" w:sz="4" w:space="0" w:color="D0D7E2"/>
              <w:left w:val="single" w:sz="4" w:space="0" w:color="D0D7E2"/>
              <w:bottom w:val="single" w:sz="4" w:space="0" w:color="D0D7E2"/>
              <w:right w:val="single" w:sz="4" w:space="0" w:color="D0D7E2"/>
            </w:tcBorders>
            <w:shd w:val="clear" w:color="auto" w:fill="CAEDFB" w:themeFill="accent4" w:themeFillTint="33"/>
            <w:tcMar>
              <w:top w:w="80" w:type="dxa"/>
              <w:left w:w="60" w:type="dxa"/>
              <w:bottom w:w="80" w:type="dxa"/>
              <w:right w:w="60" w:type="dxa"/>
            </w:tcMar>
            <w:vAlign w:val="center"/>
          </w:tcPr>
          <w:p w14:paraId="1A317FDE" w14:textId="77777777" w:rsidR="00377E69" w:rsidRDefault="00377E69" w:rsidP="005E460D">
            <w:pPr>
              <w:jc w:val="center"/>
            </w:pPr>
          </w:p>
        </w:tc>
        <w:tc>
          <w:tcPr>
            <w:tcW w:w="714" w:type="pct"/>
            <w:tcBorders>
              <w:top w:val="single" w:sz="4" w:space="0" w:color="D0D7E2"/>
              <w:left w:val="single" w:sz="4" w:space="0" w:color="D0D7E2"/>
              <w:bottom w:val="single" w:sz="4" w:space="0" w:color="D0D7E2"/>
              <w:right w:val="single" w:sz="4" w:space="0" w:color="D0D7E2"/>
            </w:tcBorders>
            <w:shd w:val="clear" w:color="auto" w:fill="CAEDFB" w:themeFill="accent4" w:themeFillTint="33"/>
            <w:tcMar>
              <w:top w:w="80" w:type="dxa"/>
              <w:left w:w="60" w:type="dxa"/>
              <w:bottom w:w="80" w:type="dxa"/>
              <w:right w:w="60" w:type="dxa"/>
            </w:tcMar>
            <w:vAlign w:val="center"/>
          </w:tcPr>
          <w:p w14:paraId="78032829" w14:textId="77777777" w:rsidR="00377E69" w:rsidRDefault="00377E69" w:rsidP="005E460D">
            <w:pPr>
              <w:jc w:val="center"/>
            </w:pPr>
          </w:p>
        </w:tc>
      </w:tr>
      <w:tr w:rsidR="00377E69" w14:paraId="1C17E42F" w14:textId="77777777" w:rsidTr="00356559">
        <w:tc>
          <w:tcPr>
            <w:tcW w:w="714" w:type="pct"/>
            <w:vMerge w:val="restart"/>
            <w:tcBorders>
              <w:top w:val="single" w:sz="4" w:space="0" w:color="D0D7E2"/>
              <w:left w:val="single" w:sz="4" w:space="0" w:color="D0D7E2"/>
              <w:bottom w:val="single" w:sz="4" w:space="0" w:color="D0D7E2"/>
              <w:right w:val="single" w:sz="4" w:space="0" w:color="D0D7E2"/>
            </w:tcBorders>
            <w:shd w:val="clear" w:color="auto" w:fill="C1F0C7" w:themeFill="accent3" w:themeFillTint="33"/>
            <w:tcMar>
              <w:top w:w="80" w:type="dxa"/>
              <w:left w:w="140" w:type="dxa"/>
              <w:bottom w:w="80" w:type="dxa"/>
              <w:right w:w="140" w:type="dxa"/>
            </w:tcMar>
            <w:vAlign w:val="center"/>
          </w:tcPr>
          <w:p w14:paraId="2C0771FA" w14:textId="77777777" w:rsidR="00377E69" w:rsidRDefault="00377E69" w:rsidP="005E460D">
            <w:r>
              <w:rPr>
                <w:b/>
                <w:bCs/>
                <w:color w:val="0F2440"/>
                <w:sz w:val="17"/>
                <w:szCs w:val="17"/>
              </w:rPr>
              <w:t>Trades and Technical Programs</w:t>
            </w:r>
          </w:p>
        </w:tc>
        <w:tc>
          <w:tcPr>
            <w:tcW w:w="714" w:type="pct"/>
            <w:tcBorders>
              <w:top w:val="single" w:sz="4" w:space="0" w:color="D0D7E2"/>
              <w:left w:val="single" w:sz="4" w:space="0" w:color="D0D7E2"/>
              <w:bottom w:val="single" w:sz="4" w:space="0" w:color="D0D7E2"/>
              <w:right w:val="single" w:sz="4" w:space="0" w:color="D0D7E2"/>
            </w:tcBorders>
            <w:shd w:val="clear" w:color="auto" w:fill="C1F0C7" w:themeFill="accent3" w:themeFillTint="33"/>
            <w:tcMar>
              <w:top w:w="80" w:type="dxa"/>
              <w:left w:w="60" w:type="dxa"/>
              <w:bottom w:w="80" w:type="dxa"/>
              <w:right w:w="60" w:type="dxa"/>
            </w:tcMar>
            <w:vAlign w:val="center"/>
          </w:tcPr>
          <w:p w14:paraId="05690B5B" w14:textId="77777777" w:rsidR="00377E69" w:rsidRDefault="00377E69" w:rsidP="005E460D">
            <w:pPr>
              <w:jc w:val="center"/>
            </w:pPr>
          </w:p>
        </w:tc>
        <w:tc>
          <w:tcPr>
            <w:tcW w:w="714" w:type="pct"/>
            <w:tcBorders>
              <w:top w:val="single" w:sz="4" w:space="0" w:color="D0D7E2"/>
              <w:left w:val="single" w:sz="4" w:space="0" w:color="D0D7E2"/>
              <w:bottom w:val="single" w:sz="4" w:space="0" w:color="D0D7E2"/>
              <w:right w:val="single" w:sz="4" w:space="0" w:color="D0D7E2"/>
            </w:tcBorders>
            <w:shd w:val="clear" w:color="auto" w:fill="C1F0C7" w:themeFill="accent3" w:themeFillTint="33"/>
            <w:tcMar>
              <w:top w:w="80" w:type="dxa"/>
              <w:left w:w="60" w:type="dxa"/>
              <w:bottom w:w="80" w:type="dxa"/>
              <w:right w:w="60" w:type="dxa"/>
            </w:tcMar>
            <w:vAlign w:val="center"/>
          </w:tcPr>
          <w:p w14:paraId="29E5493F" w14:textId="77777777" w:rsidR="00377E69" w:rsidRDefault="00377E69" w:rsidP="005E460D">
            <w:pPr>
              <w:jc w:val="center"/>
            </w:pPr>
            <w:r>
              <w:rPr>
                <w:color w:val="0F2440"/>
                <w:sz w:val="15"/>
                <w:szCs w:val="15"/>
              </w:rPr>
              <w:t>Welder</w:t>
            </w:r>
          </w:p>
        </w:tc>
        <w:tc>
          <w:tcPr>
            <w:tcW w:w="714" w:type="pct"/>
            <w:tcBorders>
              <w:top w:val="single" w:sz="4" w:space="0" w:color="D0D7E2"/>
              <w:left w:val="single" w:sz="4" w:space="0" w:color="D0D7E2"/>
              <w:bottom w:val="single" w:sz="4" w:space="0" w:color="D0D7E2"/>
              <w:right w:val="single" w:sz="4" w:space="0" w:color="D0D7E2"/>
            </w:tcBorders>
            <w:shd w:val="clear" w:color="auto" w:fill="C1F0C7" w:themeFill="accent3" w:themeFillTint="33"/>
            <w:tcMar>
              <w:top w:w="80" w:type="dxa"/>
              <w:left w:w="60" w:type="dxa"/>
              <w:bottom w:w="80" w:type="dxa"/>
              <w:right w:w="60" w:type="dxa"/>
            </w:tcMar>
            <w:vAlign w:val="center"/>
          </w:tcPr>
          <w:p w14:paraId="5C37CFA6" w14:textId="77777777" w:rsidR="00377E69" w:rsidRDefault="00377E69" w:rsidP="005E460D">
            <w:pPr>
              <w:jc w:val="center"/>
            </w:pPr>
            <w:r>
              <w:rPr>
                <w:color w:val="0F2440"/>
                <w:sz w:val="15"/>
                <w:szCs w:val="15"/>
              </w:rPr>
              <w:t>Instrumentation and Electrical Automation Technician</w:t>
            </w:r>
          </w:p>
        </w:tc>
        <w:tc>
          <w:tcPr>
            <w:tcW w:w="714" w:type="pct"/>
            <w:tcBorders>
              <w:top w:val="single" w:sz="4" w:space="0" w:color="D0D7E2"/>
              <w:left w:val="single" w:sz="4" w:space="0" w:color="D0D7E2"/>
              <w:bottom w:val="single" w:sz="4" w:space="0" w:color="D0D7E2"/>
              <w:right w:val="single" w:sz="4" w:space="0" w:color="D0D7E2"/>
            </w:tcBorders>
            <w:shd w:val="clear" w:color="auto" w:fill="C1F0C7" w:themeFill="accent3" w:themeFillTint="33"/>
            <w:tcMar>
              <w:top w:w="80" w:type="dxa"/>
              <w:left w:w="60" w:type="dxa"/>
              <w:bottom w:w="80" w:type="dxa"/>
              <w:right w:w="60" w:type="dxa"/>
            </w:tcMar>
            <w:vAlign w:val="center"/>
          </w:tcPr>
          <w:p w14:paraId="6426045F" w14:textId="77777777" w:rsidR="00377E69" w:rsidRDefault="00377E69" w:rsidP="005E460D">
            <w:pPr>
              <w:jc w:val="center"/>
            </w:pPr>
            <w:r>
              <w:rPr>
                <w:color w:val="0F2440"/>
                <w:sz w:val="15"/>
                <w:szCs w:val="15"/>
              </w:rPr>
              <w:t>Auto Service Technician</w:t>
            </w:r>
          </w:p>
        </w:tc>
        <w:tc>
          <w:tcPr>
            <w:tcW w:w="714" w:type="pct"/>
            <w:tcBorders>
              <w:top w:val="single" w:sz="4" w:space="0" w:color="D0D7E2"/>
              <w:left w:val="single" w:sz="4" w:space="0" w:color="D0D7E2"/>
              <w:bottom w:val="single" w:sz="4" w:space="0" w:color="D0D7E2"/>
              <w:right w:val="single" w:sz="4" w:space="0" w:color="D0D7E2"/>
            </w:tcBorders>
            <w:shd w:val="clear" w:color="auto" w:fill="C1F0C7" w:themeFill="accent3" w:themeFillTint="33"/>
            <w:tcMar>
              <w:top w:w="80" w:type="dxa"/>
              <w:left w:w="60" w:type="dxa"/>
              <w:bottom w:w="80" w:type="dxa"/>
              <w:right w:w="60" w:type="dxa"/>
            </w:tcMar>
            <w:vAlign w:val="center"/>
          </w:tcPr>
          <w:p w14:paraId="21828E06" w14:textId="77777777" w:rsidR="00377E69" w:rsidRDefault="00377E69" w:rsidP="005E460D">
            <w:pPr>
              <w:jc w:val="center"/>
            </w:pPr>
          </w:p>
        </w:tc>
        <w:tc>
          <w:tcPr>
            <w:tcW w:w="714" w:type="pct"/>
            <w:tcBorders>
              <w:top w:val="single" w:sz="4" w:space="0" w:color="D0D7E2"/>
              <w:left w:val="single" w:sz="4" w:space="0" w:color="D0D7E2"/>
              <w:bottom w:val="single" w:sz="4" w:space="0" w:color="D0D7E2"/>
              <w:right w:val="single" w:sz="4" w:space="0" w:color="D0D7E2"/>
            </w:tcBorders>
            <w:shd w:val="clear" w:color="auto" w:fill="C1F0C7" w:themeFill="accent3" w:themeFillTint="33"/>
            <w:tcMar>
              <w:top w:w="80" w:type="dxa"/>
              <w:left w:w="60" w:type="dxa"/>
              <w:bottom w:w="80" w:type="dxa"/>
              <w:right w:w="60" w:type="dxa"/>
            </w:tcMar>
            <w:vAlign w:val="center"/>
          </w:tcPr>
          <w:p w14:paraId="288F4A08" w14:textId="77777777" w:rsidR="00377E69" w:rsidRDefault="00377E69" w:rsidP="005E460D">
            <w:pPr>
              <w:jc w:val="center"/>
            </w:pPr>
          </w:p>
        </w:tc>
      </w:tr>
      <w:tr w:rsidR="00377E69" w14:paraId="5E00041F" w14:textId="77777777" w:rsidTr="00356559">
        <w:tc>
          <w:tcPr>
            <w:tcW w:w="714" w:type="pct"/>
            <w:vMerge/>
            <w:tcBorders>
              <w:top w:val="single" w:sz="4" w:space="0" w:color="D0D7E2"/>
              <w:left w:val="single" w:sz="4" w:space="0" w:color="D0D7E2"/>
              <w:bottom w:val="single" w:sz="4" w:space="0" w:color="D0D7E2"/>
              <w:right w:val="single" w:sz="4" w:space="0" w:color="D0D7E2"/>
            </w:tcBorders>
            <w:shd w:val="clear" w:color="auto" w:fill="C1F0C7" w:themeFill="accent3" w:themeFillTint="33"/>
          </w:tcPr>
          <w:p w14:paraId="5B99994B" w14:textId="77777777" w:rsidR="00377E69" w:rsidRDefault="00377E69" w:rsidP="005E460D"/>
        </w:tc>
        <w:tc>
          <w:tcPr>
            <w:tcW w:w="714" w:type="pct"/>
            <w:tcBorders>
              <w:top w:val="single" w:sz="4" w:space="0" w:color="D0D7E2"/>
              <w:left w:val="single" w:sz="4" w:space="0" w:color="D0D7E2"/>
              <w:bottom w:val="single" w:sz="4" w:space="0" w:color="D0D7E2"/>
              <w:right w:val="single" w:sz="4" w:space="0" w:color="D0D7E2"/>
            </w:tcBorders>
            <w:shd w:val="clear" w:color="auto" w:fill="C1F0C7" w:themeFill="accent3" w:themeFillTint="33"/>
            <w:tcMar>
              <w:top w:w="80" w:type="dxa"/>
              <w:left w:w="60" w:type="dxa"/>
              <w:bottom w:w="80" w:type="dxa"/>
              <w:right w:w="60" w:type="dxa"/>
            </w:tcMar>
            <w:vAlign w:val="center"/>
          </w:tcPr>
          <w:p w14:paraId="29B6729B" w14:textId="77777777" w:rsidR="00377E69" w:rsidRDefault="00377E69" w:rsidP="005E460D">
            <w:pPr>
              <w:jc w:val="center"/>
            </w:pPr>
          </w:p>
        </w:tc>
        <w:tc>
          <w:tcPr>
            <w:tcW w:w="714" w:type="pct"/>
            <w:tcBorders>
              <w:top w:val="single" w:sz="4" w:space="0" w:color="D0D7E2"/>
              <w:left w:val="single" w:sz="4" w:space="0" w:color="D0D7E2"/>
              <w:bottom w:val="single" w:sz="4" w:space="0" w:color="D0D7E2"/>
              <w:right w:val="single" w:sz="4" w:space="0" w:color="D0D7E2"/>
            </w:tcBorders>
            <w:shd w:val="clear" w:color="auto" w:fill="C1F0C7" w:themeFill="accent3" w:themeFillTint="33"/>
            <w:tcMar>
              <w:top w:w="80" w:type="dxa"/>
              <w:left w:w="60" w:type="dxa"/>
              <w:bottom w:w="80" w:type="dxa"/>
              <w:right w:w="60" w:type="dxa"/>
            </w:tcMar>
            <w:vAlign w:val="center"/>
          </w:tcPr>
          <w:p w14:paraId="5757662B" w14:textId="77777777" w:rsidR="00377E69" w:rsidRDefault="00377E69" w:rsidP="005E460D">
            <w:pPr>
              <w:jc w:val="center"/>
            </w:pPr>
          </w:p>
        </w:tc>
        <w:tc>
          <w:tcPr>
            <w:tcW w:w="714" w:type="pct"/>
            <w:tcBorders>
              <w:top w:val="single" w:sz="4" w:space="0" w:color="D0D7E2"/>
              <w:left w:val="single" w:sz="4" w:space="0" w:color="D0D7E2"/>
              <w:bottom w:val="single" w:sz="4" w:space="0" w:color="D0D7E2"/>
              <w:right w:val="single" w:sz="4" w:space="0" w:color="D0D7E2"/>
            </w:tcBorders>
            <w:shd w:val="clear" w:color="auto" w:fill="C1F0C7" w:themeFill="accent3" w:themeFillTint="33"/>
            <w:tcMar>
              <w:top w:w="80" w:type="dxa"/>
              <w:left w:w="60" w:type="dxa"/>
              <w:bottom w:w="80" w:type="dxa"/>
              <w:right w:w="60" w:type="dxa"/>
            </w:tcMar>
            <w:vAlign w:val="center"/>
          </w:tcPr>
          <w:p w14:paraId="4EF772DC" w14:textId="77777777" w:rsidR="00377E69" w:rsidRDefault="00377E69" w:rsidP="005E460D">
            <w:pPr>
              <w:jc w:val="center"/>
            </w:pPr>
          </w:p>
        </w:tc>
        <w:tc>
          <w:tcPr>
            <w:tcW w:w="714" w:type="pct"/>
            <w:tcBorders>
              <w:top w:val="single" w:sz="4" w:space="0" w:color="D0D7E2"/>
              <w:left w:val="single" w:sz="4" w:space="0" w:color="D0D7E2"/>
              <w:bottom w:val="single" w:sz="4" w:space="0" w:color="D0D7E2"/>
              <w:right w:val="single" w:sz="4" w:space="0" w:color="D0D7E2"/>
            </w:tcBorders>
            <w:shd w:val="clear" w:color="auto" w:fill="C1F0C7" w:themeFill="accent3" w:themeFillTint="33"/>
            <w:tcMar>
              <w:top w:w="80" w:type="dxa"/>
              <w:left w:w="60" w:type="dxa"/>
              <w:bottom w:w="80" w:type="dxa"/>
              <w:right w:w="60" w:type="dxa"/>
            </w:tcMar>
            <w:vAlign w:val="center"/>
          </w:tcPr>
          <w:p w14:paraId="05FE49B4" w14:textId="77777777" w:rsidR="00377E69" w:rsidRDefault="00377E69" w:rsidP="005E460D">
            <w:pPr>
              <w:jc w:val="center"/>
            </w:pPr>
            <w:r>
              <w:rPr>
                <w:color w:val="0F2440"/>
                <w:sz w:val="15"/>
                <w:szCs w:val="15"/>
              </w:rPr>
              <w:t>Culinary</w:t>
            </w:r>
          </w:p>
        </w:tc>
        <w:tc>
          <w:tcPr>
            <w:tcW w:w="714" w:type="pct"/>
            <w:tcBorders>
              <w:top w:val="single" w:sz="4" w:space="0" w:color="D0D7E2"/>
              <w:left w:val="single" w:sz="4" w:space="0" w:color="D0D7E2"/>
              <w:bottom w:val="single" w:sz="4" w:space="0" w:color="D0D7E2"/>
              <w:right w:val="single" w:sz="4" w:space="0" w:color="D0D7E2"/>
            </w:tcBorders>
            <w:shd w:val="clear" w:color="auto" w:fill="C1F0C7" w:themeFill="accent3" w:themeFillTint="33"/>
            <w:tcMar>
              <w:top w:w="80" w:type="dxa"/>
              <w:left w:w="60" w:type="dxa"/>
              <w:bottom w:w="80" w:type="dxa"/>
              <w:right w:w="60" w:type="dxa"/>
            </w:tcMar>
            <w:vAlign w:val="center"/>
          </w:tcPr>
          <w:p w14:paraId="075E2176" w14:textId="77777777" w:rsidR="00377E69" w:rsidRDefault="00377E69" w:rsidP="005E460D">
            <w:pPr>
              <w:jc w:val="center"/>
            </w:pPr>
          </w:p>
        </w:tc>
        <w:tc>
          <w:tcPr>
            <w:tcW w:w="714" w:type="pct"/>
            <w:tcBorders>
              <w:top w:val="single" w:sz="4" w:space="0" w:color="D0D7E2"/>
              <w:left w:val="single" w:sz="4" w:space="0" w:color="D0D7E2"/>
              <w:bottom w:val="single" w:sz="4" w:space="0" w:color="D0D7E2"/>
              <w:right w:val="single" w:sz="4" w:space="0" w:color="D0D7E2"/>
            </w:tcBorders>
            <w:shd w:val="clear" w:color="auto" w:fill="C1F0C7" w:themeFill="accent3" w:themeFillTint="33"/>
            <w:tcMar>
              <w:top w:w="80" w:type="dxa"/>
              <w:left w:w="60" w:type="dxa"/>
              <w:bottom w:w="80" w:type="dxa"/>
              <w:right w:w="60" w:type="dxa"/>
            </w:tcMar>
            <w:vAlign w:val="center"/>
          </w:tcPr>
          <w:p w14:paraId="41365FA5" w14:textId="77777777" w:rsidR="00377E69" w:rsidRDefault="00377E69" w:rsidP="005E460D">
            <w:pPr>
              <w:jc w:val="center"/>
            </w:pPr>
          </w:p>
        </w:tc>
      </w:tr>
      <w:tr w:rsidR="00377E69" w14:paraId="64BBCB3F" w14:textId="77777777" w:rsidTr="00356559">
        <w:tc>
          <w:tcPr>
            <w:tcW w:w="714" w:type="pct"/>
            <w:tcBorders>
              <w:top w:val="single" w:sz="4" w:space="0" w:color="D0D7E2"/>
              <w:left w:val="single" w:sz="4" w:space="0" w:color="D0D7E2"/>
              <w:bottom w:val="single" w:sz="4" w:space="0" w:color="D0D7E2"/>
              <w:right w:val="single" w:sz="4" w:space="0" w:color="D0D7E2"/>
            </w:tcBorders>
            <w:shd w:val="clear" w:color="auto" w:fill="FAE2D5" w:themeFill="accent2" w:themeFillTint="33"/>
            <w:tcMar>
              <w:top w:w="80" w:type="dxa"/>
              <w:left w:w="140" w:type="dxa"/>
              <w:bottom w:w="80" w:type="dxa"/>
              <w:right w:w="140" w:type="dxa"/>
            </w:tcMar>
            <w:vAlign w:val="center"/>
          </w:tcPr>
          <w:p w14:paraId="41AB0888" w14:textId="77777777" w:rsidR="00377E69" w:rsidRDefault="00377E69" w:rsidP="005E460D">
            <w:r>
              <w:rPr>
                <w:b/>
                <w:bCs/>
                <w:color w:val="0F2440"/>
                <w:sz w:val="17"/>
                <w:szCs w:val="17"/>
              </w:rPr>
              <w:t>Indigenous Education</w:t>
            </w:r>
          </w:p>
        </w:tc>
        <w:tc>
          <w:tcPr>
            <w:tcW w:w="714" w:type="pct"/>
            <w:tcBorders>
              <w:top w:val="single" w:sz="4" w:space="0" w:color="D0D7E2"/>
              <w:left w:val="single" w:sz="4" w:space="0" w:color="D0D7E2"/>
              <w:bottom w:val="single" w:sz="4" w:space="0" w:color="D0D7E2"/>
              <w:right w:val="single" w:sz="4" w:space="0" w:color="D0D7E2"/>
            </w:tcBorders>
            <w:shd w:val="clear" w:color="auto" w:fill="FAE2D5" w:themeFill="accent2" w:themeFillTint="33"/>
            <w:tcMar>
              <w:top w:w="80" w:type="dxa"/>
              <w:left w:w="60" w:type="dxa"/>
              <w:bottom w:w="80" w:type="dxa"/>
              <w:right w:w="60" w:type="dxa"/>
            </w:tcMar>
            <w:vAlign w:val="center"/>
          </w:tcPr>
          <w:p w14:paraId="721FE519" w14:textId="77777777" w:rsidR="00377E69" w:rsidRDefault="00377E69" w:rsidP="005E460D">
            <w:pPr>
              <w:jc w:val="center"/>
            </w:pPr>
          </w:p>
        </w:tc>
        <w:tc>
          <w:tcPr>
            <w:tcW w:w="714" w:type="pct"/>
            <w:tcBorders>
              <w:top w:val="single" w:sz="4" w:space="0" w:color="D0D7E2"/>
              <w:left w:val="single" w:sz="4" w:space="0" w:color="D0D7E2"/>
              <w:bottom w:val="single" w:sz="4" w:space="0" w:color="D0D7E2"/>
              <w:right w:val="single" w:sz="4" w:space="0" w:color="D0D7E2"/>
            </w:tcBorders>
            <w:shd w:val="clear" w:color="auto" w:fill="FAE2D5" w:themeFill="accent2" w:themeFillTint="33"/>
            <w:tcMar>
              <w:top w:w="80" w:type="dxa"/>
              <w:left w:w="60" w:type="dxa"/>
              <w:bottom w:w="80" w:type="dxa"/>
              <w:right w:w="60" w:type="dxa"/>
            </w:tcMar>
            <w:vAlign w:val="center"/>
          </w:tcPr>
          <w:p w14:paraId="4CA4D875" w14:textId="77777777" w:rsidR="00377E69" w:rsidRDefault="00377E69" w:rsidP="005E460D">
            <w:pPr>
              <w:jc w:val="center"/>
            </w:pPr>
          </w:p>
        </w:tc>
        <w:tc>
          <w:tcPr>
            <w:tcW w:w="714" w:type="pct"/>
            <w:tcBorders>
              <w:top w:val="single" w:sz="4" w:space="0" w:color="D0D7E2"/>
              <w:left w:val="single" w:sz="4" w:space="0" w:color="D0D7E2"/>
              <w:bottom w:val="single" w:sz="4" w:space="0" w:color="D0D7E2"/>
              <w:right w:val="single" w:sz="4" w:space="0" w:color="D0D7E2"/>
            </w:tcBorders>
            <w:shd w:val="clear" w:color="auto" w:fill="FAE2D5" w:themeFill="accent2" w:themeFillTint="33"/>
            <w:tcMar>
              <w:top w:w="80" w:type="dxa"/>
              <w:left w:w="60" w:type="dxa"/>
              <w:bottom w:w="80" w:type="dxa"/>
              <w:right w:w="60" w:type="dxa"/>
            </w:tcMar>
            <w:vAlign w:val="center"/>
          </w:tcPr>
          <w:p w14:paraId="6B10DB64" w14:textId="77777777" w:rsidR="00377E69" w:rsidRDefault="00377E69" w:rsidP="005E460D">
            <w:pPr>
              <w:jc w:val="center"/>
            </w:pPr>
          </w:p>
        </w:tc>
        <w:tc>
          <w:tcPr>
            <w:tcW w:w="714" w:type="pct"/>
            <w:tcBorders>
              <w:top w:val="single" w:sz="4" w:space="0" w:color="D0D7E2"/>
              <w:left w:val="single" w:sz="4" w:space="0" w:color="D0D7E2"/>
              <w:bottom w:val="single" w:sz="4" w:space="0" w:color="D0D7E2"/>
              <w:right w:val="single" w:sz="4" w:space="0" w:color="D0D7E2"/>
            </w:tcBorders>
            <w:shd w:val="clear" w:color="auto" w:fill="FAE2D5" w:themeFill="accent2" w:themeFillTint="33"/>
            <w:tcMar>
              <w:top w:w="80" w:type="dxa"/>
              <w:left w:w="60" w:type="dxa"/>
              <w:bottom w:w="80" w:type="dxa"/>
              <w:right w:w="60" w:type="dxa"/>
            </w:tcMar>
            <w:vAlign w:val="center"/>
          </w:tcPr>
          <w:p w14:paraId="00BD71D6" w14:textId="77777777" w:rsidR="00377E69" w:rsidRDefault="00377E69" w:rsidP="005E460D">
            <w:pPr>
              <w:jc w:val="center"/>
            </w:pPr>
            <w:r>
              <w:rPr>
                <w:color w:val="0F2440"/>
                <w:sz w:val="15"/>
                <w:szCs w:val="15"/>
              </w:rPr>
              <w:t>Indigenous Leadership</w:t>
            </w:r>
          </w:p>
        </w:tc>
        <w:tc>
          <w:tcPr>
            <w:tcW w:w="714" w:type="pct"/>
            <w:tcBorders>
              <w:top w:val="single" w:sz="4" w:space="0" w:color="D0D7E2"/>
              <w:left w:val="single" w:sz="4" w:space="0" w:color="D0D7E2"/>
              <w:bottom w:val="single" w:sz="4" w:space="0" w:color="D0D7E2"/>
              <w:right w:val="single" w:sz="4" w:space="0" w:color="D0D7E2"/>
            </w:tcBorders>
            <w:shd w:val="clear" w:color="auto" w:fill="FAE2D5" w:themeFill="accent2" w:themeFillTint="33"/>
            <w:tcMar>
              <w:top w:w="80" w:type="dxa"/>
              <w:left w:w="60" w:type="dxa"/>
              <w:bottom w:w="80" w:type="dxa"/>
              <w:right w:w="60" w:type="dxa"/>
            </w:tcMar>
            <w:vAlign w:val="center"/>
          </w:tcPr>
          <w:p w14:paraId="7EC4BE6F" w14:textId="77777777" w:rsidR="00377E69" w:rsidRDefault="00377E69" w:rsidP="005E460D">
            <w:pPr>
              <w:jc w:val="center"/>
            </w:pPr>
            <w:r>
              <w:rPr>
                <w:color w:val="0F2440"/>
                <w:sz w:val="15"/>
                <w:szCs w:val="15"/>
              </w:rPr>
              <w:t>Indigenous Languages</w:t>
            </w:r>
          </w:p>
        </w:tc>
        <w:tc>
          <w:tcPr>
            <w:tcW w:w="714" w:type="pct"/>
            <w:tcBorders>
              <w:top w:val="single" w:sz="4" w:space="0" w:color="D0D7E2"/>
              <w:left w:val="single" w:sz="4" w:space="0" w:color="D0D7E2"/>
              <w:bottom w:val="single" w:sz="4" w:space="0" w:color="D0D7E2"/>
              <w:right w:val="single" w:sz="4" w:space="0" w:color="D0D7E2"/>
            </w:tcBorders>
            <w:shd w:val="clear" w:color="auto" w:fill="FAE2D5" w:themeFill="accent2" w:themeFillTint="33"/>
            <w:tcMar>
              <w:top w:w="80" w:type="dxa"/>
              <w:left w:w="60" w:type="dxa"/>
              <w:bottom w:w="80" w:type="dxa"/>
              <w:right w:w="60" w:type="dxa"/>
            </w:tcMar>
            <w:vAlign w:val="center"/>
          </w:tcPr>
          <w:p w14:paraId="5CCAA228" w14:textId="77777777" w:rsidR="00377E69" w:rsidRDefault="00377E69" w:rsidP="005E460D">
            <w:pPr>
              <w:jc w:val="center"/>
            </w:pPr>
          </w:p>
        </w:tc>
      </w:tr>
      <w:tr w:rsidR="00377E69" w14:paraId="01A6DB0F" w14:textId="77777777" w:rsidTr="00356559">
        <w:tc>
          <w:tcPr>
            <w:tcW w:w="714" w:type="pct"/>
            <w:tcBorders>
              <w:top w:val="single" w:sz="4" w:space="0" w:color="D0D7E2"/>
              <w:left w:val="single" w:sz="4" w:space="0" w:color="D0D7E2"/>
              <w:bottom w:val="single" w:sz="4" w:space="0" w:color="D0D7E2"/>
              <w:right w:val="single" w:sz="4" w:space="0" w:color="D0D7E2"/>
            </w:tcBorders>
            <w:shd w:val="clear" w:color="auto" w:fill="DAE9F7" w:themeFill="text2" w:themeFillTint="1A"/>
            <w:tcMar>
              <w:top w:w="80" w:type="dxa"/>
              <w:left w:w="140" w:type="dxa"/>
              <w:bottom w:w="80" w:type="dxa"/>
              <w:right w:w="140" w:type="dxa"/>
            </w:tcMar>
            <w:vAlign w:val="center"/>
          </w:tcPr>
          <w:p w14:paraId="13710D40" w14:textId="77777777" w:rsidR="00377E69" w:rsidRDefault="00377E69" w:rsidP="005E460D">
            <w:r>
              <w:rPr>
                <w:b/>
                <w:bCs/>
                <w:color w:val="0F2440"/>
                <w:sz w:val="17"/>
                <w:szCs w:val="17"/>
              </w:rPr>
              <w:t>Continuing Education</w:t>
            </w:r>
          </w:p>
        </w:tc>
        <w:tc>
          <w:tcPr>
            <w:tcW w:w="714" w:type="pct"/>
            <w:tcBorders>
              <w:top w:val="single" w:sz="4" w:space="0" w:color="D0D7E2"/>
              <w:left w:val="single" w:sz="4" w:space="0" w:color="D0D7E2"/>
              <w:bottom w:val="single" w:sz="4" w:space="0" w:color="D0D7E2"/>
              <w:right w:val="single" w:sz="4" w:space="0" w:color="D0D7E2"/>
            </w:tcBorders>
            <w:shd w:val="clear" w:color="auto" w:fill="DAE9F7" w:themeFill="text2" w:themeFillTint="1A"/>
            <w:tcMar>
              <w:top w:w="80" w:type="dxa"/>
              <w:left w:w="60" w:type="dxa"/>
              <w:bottom w:w="80" w:type="dxa"/>
              <w:right w:w="60" w:type="dxa"/>
            </w:tcMar>
            <w:vAlign w:val="center"/>
          </w:tcPr>
          <w:p w14:paraId="5E4C75C3" w14:textId="77777777" w:rsidR="00377E69" w:rsidRDefault="00377E69" w:rsidP="005E460D">
            <w:pPr>
              <w:jc w:val="center"/>
            </w:pPr>
          </w:p>
        </w:tc>
        <w:tc>
          <w:tcPr>
            <w:tcW w:w="714" w:type="pct"/>
            <w:tcBorders>
              <w:top w:val="single" w:sz="4" w:space="0" w:color="D0D7E2"/>
              <w:left w:val="single" w:sz="4" w:space="0" w:color="D0D7E2"/>
              <w:bottom w:val="single" w:sz="4" w:space="0" w:color="D0D7E2"/>
              <w:right w:val="single" w:sz="4" w:space="0" w:color="D0D7E2"/>
            </w:tcBorders>
            <w:shd w:val="clear" w:color="auto" w:fill="DAE9F7" w:themeFill="text2" w:themeFillTint="1A"/>
            <w:tcMar>
              <w:top w:w="80" w:type="dxa"/>
              <w:left w:w="60" w:type="dxa"/>
              <w:bottom w:w="80" w:type="dxa"/>
              <w:right w:w="60" w:type="dxa"/>
            </w:tcMar>
            <w:vAlign w:val="center"/>
          </w:tcPr>
          <w:p w14:paraId="364E9FE5" w14:textId="77777777" w:rsidR="00377E69" w:rsidRDefault="00377E69" w:rsidP="005E460D">
            <w:pPr>
              <w:jc w:val="center"/>
            </w:pPr>
          </w:p>
        </w:tc>
        <w:tc>
          <w:tcPr>
            <w:tcW w:w="714" w:type="pct"/>
            <w:tcBorders>
              <w:top w:val="single" w:sz="4" w:space="0" w:color="D0D7E2"/>
              <w:left w:val="single" w:sz="4" w:space="0" w:color="D0D7E2"/>
              <w:bottom w:val="single" w:sz="4" w:space="0" w:color="D0D7E2"/>
              <w:right w:val="single" w:sz="4" w:space="0" w:color="D0D7E2"/>
            </w:tcBorders>
            <w:shd w:val="clear" w:color="auto" w:fill="DAE9F7" w:themeFill="text2" w:themeFillTint="1A"/>
            <w:tcMar>
              <w:top w:w="80" w:type="dxa"/>
              <w:left w:w="60" w:type="dxa"/>
              <w:bottom w:w="80" w:type="dxa"/>
              <w:right w:w="60" w:type="dxa"/>
            </w:tcMar>
            <w:vAlign w:val="center"/>
          </w:tcPr>
          <w:p w14:paraId="0158D6CF" w14:textId="77777777" w:rsidR="00377E69" w:rsidRDefault="00377E69" w:rsidP="005E460D">
            <w:pPr>
              <w:jc w:val="center"/>
            </w:pPr>
          </w:p>
        </w:tc>
        <w:tc>
          <w:tcPr>
            <w:tcW w:w="714" w:type="pct"/>
            <w:tcBorders>
              <w:top w:val="single" w:sz="4" w:space="0" w:color="D0D7E2"/>
              <w:left w:val="single" w:sz="4" w:space="0" w:color="D0D7E2"/>
              <w:bottom w:val="single" w:sz="4" w:space="0" w:color="D0D7E2"/>
              <w:right w:val="single" w:sz="4" w:space="0" w:color="D0D7E2"/>
            </w:tcBorders>
            <w:shd w:val="clear" w:color="auto" w:fill="DAE9F7" w:themeFill="text2" w:themeFillTint="1A"/>
            <w:tcMar>
              <w:top w:w="80" w:type="dxa"/>
              <w:left w:w="60" w:type="dxa"/>
              <w:bottom w:w="80" w:type="dxa"/>
              <w:right w:w="60" w:type="dxa"/>
            </w:tcMar>
            <w:vAlign w:val="center"/>
          </w:tcPr>
          <w:p w14:paraId="483562AB" w14:textId="77777777" w:rsidR="00377E69" w:rsidRDefault="00377E69" w:rsidP="005E460D">
            <w:pPr>
              <w:jc w:val="center"/>
            </w:pPr>
            <w:r>
              <w:rPr>
                <w:color w:val="0F2440"/>
                <w:sz w:val="15"/>
                <w:szCs w:val="15"/>
              </w:rPr>
              <w:t>Activity Assistant</w:t>
            </w:r>
          </w:p>
        </w:tc>
        <w:tc>
          <w:tcPr>
            <w:tcW w:w="714" w:type="pct"/>
            <w:tcBorders>
              <w:top w:val="single" w:sz="4" w:space="0" w:color="D0D7E2"/>
              <w:left w:val="single" w:sz="4" w:space="0" w:color="D0D7E2"/>
              <w:bottom w:val="single" w:sz="4" w:space="0" w:color="D0D7E2"/>
              <w:right w:val="single" w:sz="4" w:space="0" w:color="D0D7E2"/>
            </w:tcBorders>
            <w:shd w:val="clear" w:color="auto" w:fill="DAE9F7" w:themeFill="text2" w:themeFillTint="1A"/>
            <w:tcMar>
              <w:top w:w="80" w:type="dxa"/>
              <w:left w:w="60" w:type="dxa"/>
              <w:bottom w:w="80" w:type="dxa"/>
              <w:right w:w="60" w:type="dxa"/>
            </w:tcMar>
            <w:vAlign w:val="center"/>
          </w:tcPr>
          <w:p w14:paraId="43171F0D" w14:textId="77777777" w:rsidR="00377E69" w:rsidRDefault="00377E69" w:rsidP="005E460D">
            <w:pPr>
              <w:jc w:val="center"/>
            </w:pPr>
          </w:p>
        </w:tc>
        <w:tc>
          <w:tcPr>
            <w:tcW w:w="714" w:type="pct"/>
            <w:tcBorders>
              <w:top w:val="single" w:sz="4" w:space="0" w:color="D0D7E2"/>
              <w:left w:val="single" w:sz="4" w:space="0" w:color="D0D7E2"/>
              <w:bottom w:val="single" w:sz="4" w:space="0" w:color="D0D7E2"/>
              <w:right w:val="single" w:sz="4" w:space="0" w:color="D0D7E2"/>
            </w:tcBorders>
            <w:shd w:val="clear" w:color="auto" w:fill="DAE9F7" w:themeFill="text2" w:themeFillTint="1A"/>
            <w:tcMar>
              <w:top w:w="80" w:type="dxa"/>
              <w:left w:w="60" w:type="dxa"/>
              <w:bottom w:w="80" w:type="dxa"/>
              <w:right w:w="60" w:type="dxa"/>
            </w:tcMar>
            <w:vAlign w:val="center"/>
          </w:tcPr>
          <w:p w14:paraId="690F0E5C" w14:textId="77777777" w:rsidR="00377E69" w:rsidRDefault="00377E69" w:rsidP="005E460D">
            <w:pPr>
              <w:jc w:val="center"/>
            </w:pPr>
          </w:p>
        </w:tc>
      </w:tr>
      <w:tr w:rsidR="00377E69" w14:paraId="678BB43E" w14:textId="77777777" w:rsidTr="00356559">
        <w:trPr>
          <w:cantSplit/>
        </w:trPr>
        <w:tc>
          <w:tcPr>
            <w:tcW w:w="714" w:type="pct"/>
            <w:tcBorders>
              <w:top w:val="single" w:sz="4" w:space="0" w:color="D0D7E2"/>
              <w:left w:val="single" w:sz="4" w:space="0" w:color="D0D7E2"/>
              <w:bottom w:val="single" w:sz="4" w:space="0" w:color="D0D7E2"/>
              <w:right w:val="single" w:sz="4" w:space="0" w:color="D0D7E2"/>
            </w:tcBorders>
            <w:shd w:val="clear" w:color="auto" w:fill="ADADAD" w:themeFill="background2" w:themeFillShade="BF"/>
            <w:tcMar>
              <w:top w:w="100" w:type="dxa"/>
              <w:left w:w="140" w:type="dxa"/>
              <w:bottom w:w="100" w:type="dxa"/>
              <w:right w:w="140" w:type="dxa"/>
            </w:tcMar>
            <w:vAlign w:val="center"/>
          </w:tcPr>
          <w:p w14:paraId="792E76AF" w14:textId="77777777" w:rsidR="00377E69" w:rsidRDefault="00377E69" w:rsidP="005E460D">
            <w:r>
              <w:rPr>
                <w:b/>
                <w:bCs/>
                <w:color w:val="0F2440"/>
                <w:spacing w:val="20"/>
                <w:sz w:val="17"/>
                <w:szCs w:val="17"/>
              </w:rPr>
              <w:t>TOTAL</w:t>
            </w:r>
          </w:p>
        </w:tc>
        <w:tc>
          <w:tcPr>
            <w:tcW w:w="714" w:type="pct"/>
            <w:tcBorders>
              <w:top w:val="single" w:sz="4" w:space="0" w:color="D0D7E2"/>
              <w:left w:val="single" w:sz="4" w:space="0" w:color="D0D7E2"/>
              <w:bottom w:val="single" w:sz="4" w:space="0" w:color="D0D7E2"/>
              <w:right w:val="single" w:sz="4" w:space="0" w:color="D0D7E2"/>
            </w:tcBorders>
            <w:shd w:val="clear" w:color="auto" w:fill="D1D1D1" w:themeFill="background2" w:themeFillShade="E6"/>
            <w:tcMar>
              <w:top w:w="100" w:type="dxa"/>
              <w:left w:w="80" w:type="dxa"/>
              <w:bottom w:w="100" w:type="dxa"/>
              <w:right w:w="80" w:type="dxa"/>
            </w:tcMar>
            <w:vAlign w:val="center"/>
          </w:tcPr>
          <w:p w14:paraId="4EF19AE6" w14:textId="77777777" w:rsidR="00377E69" w:rsidRDefault="00377E69" w:rsidP="005E460D">
            <w:pPr>
              <w:jc w:val="center"/>
            </w:pPr>
            <w:r>
              <w:rPr>
                <w:b/>
                <w:bCs/>
                <w:color w:val="0F2440"/>
                <w:sz w:val="22"/>
                <w:szCs w:val="22"/>
              </w:rPr>
              <w:t>1</w:t>
            </w:r>
          </w:p>
        </w:tc>
        <w:tc>
          <w:tcPr>
            <w:tcW w:w="714" w:type="pct"/>
            <w:tcBorders>
              <w:top w:val="single" w:sz="4" w:space="0" w:color="D0D7E2"/>
              <w:left w:val="single" w:sz="4" w:space="0" w:color="D0D7E2"/>
              <w:bottom w:val="single" w:sz="4" w:space="0" w:color="D0D7E2"/>
              <w:right w:val="single" w:sz="4" w:space="0" w:color="D0D7E2"/>
            </w:tcBorders>
            <w:shd w:val="clear" w:color="auto" w:fill="D1D1D1" w:themeFill="background2" w:themeFillShade="E6"/>
            <w:tcMar>
              <w:top w:w="100" w:type="dxa"/>
              <w:left w:w="80" w:type="dxa"/>
              <w:bottom w:w="100" w:type="dxa"/>
              <w:right w:w="80" w:type="dxa"/>
            </w:tcMar>
            <w:vAlign w:val="center"/>
          </w:tcPr>
          <w:p w14:paraId="25D03E00" w14:textId="77777777" w:rsidR="00377E69" w:rsidRDefault="00377E69" w:rsidP="005E460D">
            <w:pPr>
              <w:jc w:val="center"/>
            </w:pPr>
            <w:r>
              <w:rPr>
                <w:b/>
                <w:bCs/>
                <w:color w:val="0F2440"/>
                <w:sz w:val="22"/>
                <w:szCs w:val="22"/>
              </w:rPr>
              <w:t>4</w:t>
            </w:r>
          </w:p>
        </w:tc>
        <w:tc>
          <w:tcPr>
            <w:tcW w:w="714" w:type="pct"/>
            <w:tcBorders>
              <w:top w:val="single" w:sz="4" w:space="0" w:color="D0D7E2"/>
              <w:left w:val="single" w:sz="4" w:space="0" w:color="D0D7E2"/>
              <w:bottom w:val="single" w:sz="4" w:space="0" w:color="D0D7E2"/>
              <w:right w:val="single" w:sz="4" w:space="0" w:color="D0D7E2"/>
            </w:tcBorders>
            <w:shd w:val="clear" w:color="auto" w:fill="D1D1D1" w:themeFill="background2" w:themeFillShade="E6"/>
            <w:tcMar>
              <w:top w:w="100" w:type="dxa"/>
              <w:left w:w="80" w:type="dxa"/>
              <w:bottom w:w="100" w:type="dxa"/>
              <w:right w:w="80" w:type="dxa"/>
            </w:tcMar>
            <w:vAlign w:val="center"/>
          </w:tcPr>
          <w:p w14:paraId="40E754AD" w14:textId="77777777" w:rsidR="00377E69" w:rsidRDefault="00377E69" w:rsidP="005E460D">
            <w:pPr>
              <w:jc w:val="center"/>
            </w:pPr>
            <w:r>
              <w:rPr>
                <w:b/>
                <w:bCs/>
                <w:color w:val="0F2440"/>
                <w:sz w:val="22"/>
                <w:szCs w:val="22"/>
              </w:rPr>
              <w:t>4</w:t>
            </w:r>
          </w:p>
        </w:tc>
        <w:tc>
          <w:tcPr>
            <w:tcW w:w="714" w:type="pct"/>
            <w:tcBorders>
              <w:top w:val="single" w:sz="4" w:space="0" w:color="D0D7E2"/>
              <w:left w:val="single" w:sz="4" w:space="0" w:color="D0D7E2"/>
              <w:bottom w:val="single" w:sz="4" w:space="0" w:color="D0D7E2"/>
              <w:right w:val="single" w:sz="4" w:space="0" w:color="D0D7E2"/>
            </w:tcBorders>
            <w:shd w:val="clear" w:color="auto" w:fill="D1D1D1" w:themeFill="background2" w:themeFillShade="E6"/>
            <w:tcMar>
              <w:top w:w="100" w:type="dxa"/>
              <w:left w:w="80" w:type="dxa"/>
              <w:bottom w:w="100" w:type="dxa"/>
              <w:right w:w="80" w:type="dxa"/>
            </w:tcMar>
            <w:vAlign w:val="center"/>
          </w:tcPr>
          <w:p w14:paraId="05A8400D" w14:textId="6C75B79A" w:rsidR="00377E69" w:rsidRDefault="00377E69" w:rsidP="005E460D">
            <w:pPr>
              <w:jc w:val="center"/>
            </w:pPr>
            <w:r>
              <w:rPr>
                <w:b/>
                <w:bCs/>
                <w:color w:val="0F2440"/>
                <w:sz w:val="22"/>
                <w:szCs w:val="22"/>
              </w:rPr>
              <w:t>5</w:t>
            </w:r>
          </w:p>
        </w:tc>
        <w:tc>
          <w:tcPr>
            <w:tcW w:w="714" w:type="pct"/>
            <w:tcBorders>
              <w:top w:val="single" w:sz="4" w:space="0" w:color="D0D7E2"/>
              <w:left w:val="single" w:sz="4" w:space="0" w:color="D0D7E2"/>
              <w:bottom w:val="single" w:sz="4" w:space="0" w:color="D0D7E2"/>
              <w:right w:val="single" w:sz="4" w:space="0" w:color="D0D7E2"/>
            </w:tcBorders>
            <w:shd w:val="clear" w:color="auto" w:fill="D1D1D1" w:themeFill="background2" w:themeFillShade="E6"/>
            <w:tcMar>
              <w:top w:w="100" w:type="dxa"/>
              <w:left w:w="80" w:type="dxa"/>
              <w:bottom w:w="100" w:type="dxa"/>
              <w:right w:w="80" w:type="dxa"/>
            </w:tcMar>
            <w:vAlign w:val="center"/>
          </w:tcPr>
          <w:p w14:paraId="22ADE5FA" w14:textId="3DE78E3E" w:rsidR="00377E69" w:rsidRDefault="00377E69" w:rsidP="005E460D">
            <w:pPr>
              <w:jc w:val="center"/>
            </w:pPr>
            <w:r>
              <w:rPr>
                <w:b/>
                <w:bCs/>
                <w:color w:val="0F2440"/>
                <w:sz w:val="22"/>
                <w:szCs w:val="22"/>
              </w:rPr>
              <w:t>4</w:t>
            </w:r>
          </w:p>
        </w:tc>
        <w:tc>
          <w:tcPr>
            <w:tcW w:w="714" w:type="pct"/>
            <w:tcBorders>
              <w:top w:val="single" w:sz="4" w:space="0" w:color="D0D7E2"/>
              <w:left w:val="single" w:sz="4" w:space="0" w:color="D0D7E2"/>
              <w:bottom w:val="single" w:sz="4" w:space="0" w:color="D0D7E2"/>
              <w:right w:val="single" w:sz="4" w:space="0" w:color="D0D7E2"/>
            </w:tcBorders>
            <w:shd w:val="clear" w:color="auto" w:fill="D1D1D1" w:themeFill="background2" w:themeFillShade="E6"/>
            <w:tcMar>
              <w:top w:w="100" w:type="dxa"/>
              <w:left w:w="80" w:type="dxa"/>
              <w:bottom w:w="100" w:type="dxa"/>
              <w:right w:w="80" w:type="dxa"/>
            </w:tcMar>
            <w:vAlign w:val="center"/>
          </w:tcPr>
          <w:p w14:paraId="045C6497" w14:textId="0BBA4C76" w:rsidR="00377E69" w:rsidRDefault="00377E69" w:rsidP="005E460D">
            <w:pPr>
              <w:jc w:val="center"/>
            </w:pPr>
            <w:r>
              <w:rPr>
                <w:b/>
                <w:bCs/>
                <w:color w:val="0F2440"/>
                <w:sz w:val="22"/>
                <w:szCs w:val="22"/>
              </w:rPr>
              <w:t>3</w:t>
            </w:r>
          </w:p>
        </w:tc>
      </w:tr>
    </w:tbl>
    <w:p w14:paraId="51F7A8C8" w14:textId="77777777" w:rsidR="008259C8" w:rsidRDefault="008259C8" w:rsidP="009C0E92"/>
    <w:p w14:paraId="7DB19756" w14:textId="528A153A" w:rsidR="00C64DA3" w:rsidRPr="00C30B8A" w:rsidRDefault="00C64DA3" w:rsidP="00C64DA3">
      <w:pPr>
        <w:jc w:val="center"/>
      </w:pPr>
      <w:r w:rsidRPr="00C30B8A">
        <w:rPr>
          <w:i/>
          <w:iCs/>
          <w:color w:val="707070"/>
        </w:rPr>
        <w:t xml:space="preserve">—  Document </w:t>
      </w:r>
      <w:r w:rsidR="009020EE">
        <w:rPr>
          <w:i/>
          <w:iCs/>
          <w:color w:val="707070"/>
        </w:rPr>
        <w:t>revised</w:t>
      </w:r>
      <w:r w:rsidRPr="00C30B8A">
        <w:rPr>
          <w:i/>
          <w:iCs/>
          <w:color w:val="707070"/>
        </w:rPr>
        <w:t xml:space="preserve"> </w:t>
      </w:r>
      <w:r w:rsidR="009020EE">
        <w:rPr>
          <w:i/>
          <w:iCs/>
          <w:color w:val="707070"/>
        </w:rPr>
        <w:t>May 1</w:t>
      </w:r>
      <w:r w:rsidR="00377E69">
        <w:rPr>
          <w:i/>
          <w:iCs/>
          <w:color w:val="707070"/>
        </w:rPr>
        <w:t>5</w:t>
      </w:r>
      <w:r w:rsidRPr="00C30B8A">
        <w:rPr>
          <w:i/>
          <w:iCs/>
          <w:color w:val="707070"/>
        </w:rPr>
        <w:t xml:space="preserve">, </w:t>
      </w:r>
      <w:proofErr w:type="gramStart"/>
      <w:r w:rsidRPr="00C30B8A">
        <w:rPr>
          <w:i/>
          <w:iCs/>
          <w:color w:val="707070"/>
        </w:rPr>
        <w:t>2026  —</w:t>
      </w:r>
      <w:proofErr w:type="gramEnd"/>
    </w:p>
    <w:p w14:paraId="3CEA200A" w14:textId="5B01E4AB" w:rsidR="00C64DA3" w:rsidRPr="00C30B8A" w:rsidRDefault="00C64DA3" w:rsidP="00C64DA3">
      <w:pPr>
        <w:jc w:val="center"/>
      </w:pPr>
      <w:r w:rsidRPr="00C30B8A">
        <w:rPr>
          <w:i/>
          <w:iCs/>
          <w:color w:val="707070"/>
        </w:rPr>
        <w:t xml:space="preserve">—  </w:t>
      </w:r>
      <w:r>
        <w:rPr>
          <w:i/>
          <w:iCs/>
          <w:color w:val="707070"/>
        </w:rPr>
        <w:t xml:space="preserve">The schedule is subject to </w:t>
      </w:r>
      <w:proofErr w:type="gramStart"/>
      <w:r>
        <w:rPr>
          <w:i/>
          <w:iCs/>
          <w:color w:val="707070"/>
        </w:rPr>
        <w:t>change</w:t>
      </w:r>
      <w:r w:rsidRPr="00C30B8A">
        <w:rPr>
          <w:i/>
          <w:iCs/>
          <w:color w:val="707070"/>
        </w:rPr>
        <w:t xml:space="preserve">  —</w:t>
      </w:r>
      <w:proofErr w:type="gramEnd"/>
    </w:p>
    <w:p w14:paraId="176AF7D0" w14:textId="77777777" w:rsidR="00C64DA3" w:rsidRDefault="00C64DA3" w:rsidP="009C0E92"/>
    <w:sectPr w:rsidR="00C64DA3" w:rsidSect="00B34121">
      <w:footerReference w:type="default" r:id="rId7"/>
      <w:pgSz w:w="15840" w:h="12240" w:orient="landscape"/>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5FBE5" w14:textId="77777777" w:rsidR="00B6302F" w:rsidRDefault="00B6302F">
      <w:r>
        <w:separator/>
      </w:r>
    </w:p>
  </w:endnote>
  <w:endnote w:type="continuationSeparator" w:id="0">
    <w:p w14:paraId="2476B78F" w14:textId="77777777" w:rsidR="00B6302F" w:rsidRDefault="00B63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B2D7" w14:textId="3AF404A6" w:rsidR="00B34121" w:rsidRDefault="00B34121">
    <w:pPr>
      <w:pBdr>
        <w:top w:val="single" w:sz="4" w:space="6" w:color="D0D7E2"/>
      </w:pBdr>
      <w:tabs>
        <w:tab w:val="right" w:pos="14400"/>
      </w:tabs>
    </w:pPr>
    <w:r>
      <w:rPr>
        <w:color w:val="707070"/>
        <w:sz w:val="16"/>
        <w:szCs w:val="16"/>
      </w:rPr>
      <w:t xml:space="preserve">Program Review </w:t>
    </w:r>
    <w:proofErr w:type="gramStart"/>
    <w:r>
      <w:rPr>
        <w:color w:val="707070"/>
        <w:sz w:val="16"/>
        <w:szCs w:val="16"/>
      </w:rPr>
      <w:t>Schedule  ·</w:t>
    </w:r>
    <w:proofErr w:type="gramEnd"/>
    <w:r>
      <w:rPr>
        <w:color w:val="707070"/>
        <w:sz w:val="16"/>
        <w:szCs w:val="16"/>
      </w:rPr>
      <w:t xml:space="preserve">  </w:t>
    </w:r>
    <w:r w:rsidR="009020EE">
      <w:rPr>
        <w:color w:val="707070"/>
        <w:sz w:val="16"/>
        <w:szCs w:val="16"/>
      </w:rPr>
      <w:t>May</w:t>
    </w:r>
    <w:r>
      <w:rPr>
        <w:color w:val="707070"/>
        <w:sz w:val="16"/>
        <w:szCs w:val="16"/>
      </w:rPr>
      <w:t xml:space="preserve"> </w:t>
    </w:r>
    <w:proofErr w:type="gramStart"/>
    <w:r>
      <w:rPr>
        <w:color w:val="707070"/>
        <w:sz w:val="16"/>
        <w:szCs w:val="16"/>
      </w:rPr>
      <w:t>2026  ·</w:t>
    </w:r>
    <w:proofErr w:type="gramEnd"/>
    <w:r>
      <w:rPr>
        <w:color w:val="707070"/>
        <w:sz w:val="16"/>
        <w:szCs w:val="16"/>
      </w:rPr>
      <w:t xml:space="preserve">  North Island College</w:t>
    </w:r>
    <w:r>
      <w:rPr>
        <w:sz w:val="16"/>
        <w:szCs w:val="16"/>
      </w:rPr>
      <w:tab/>
    </w:r>
    <w:r>
      <w:rPr>
        <w:color w:val="707070"/>
        <w:sz w:val="16"/>
        <w:szCs w:val="16"/>
      </w:rPr>
      <w:t xml:space="preserve">Page </w:t>
    </w:r>
    <w:r>
      <w:rPr>
        <w:color w:val="707070"/>
        <w:sz w:val="16"/>
        <w:szCs w:val="16"/>
      </w:rPr>
      <w:fldChar w:fldCharType="begin"/>
    </w:r>
    <w:r>
      <w:rPr>
        <w:color w:val="707070"/>
        <w:sz w:val="16"/>
        <w:szCs w:val="16"/>
      </w:rPr>
      <w:instrText>PAGE</w:instrText>
    </w:r>
    <w:r>
      <w:rPr>
        <w:color w:val="707070"/>
        <w:sz w:val="16"/>
        <w:szCs w:val="16"/>
      </w:rPr>
      <w:fldChar w:fldCharType="separate"/>
    </w:r>
    <w:r>
      <w:rPr>
        <w:noProof/>
        <w:color w:val="707070"/>
        <w:sz w:val="16"/>
        <w:szCs w:val="16"/>
      </w:rPr>
      <w:t>1</w:t>
    </w:r>
    <w:r>
      <w:rPr>
        <w:color w:val="707070"/>
        <w:sz w:val="16"/>
        <w:szCs w:val="16"/>
      </w:rPr>
      <w:fldChar w:fldCharType="end"/>
    </w:r>
    <w:r>
      <w:rPr>
        <w:color w:val="707070"/>
        <w:sz w:val="16"/>
        <w:szCs w:val="16"/>
      </w:rPr>
      <w:t xml:space="preserve"> of </w:t>
    </w:r>
    <w:r>
      <w:rPr>
        <w:color w:val="707070"/>
        <w:sz w:val="16"/>
        <w:szCs w:val="16"/>
      </w:rPr>
      <w:fldChar w:fldCharType="begin"/>
    </w:r>
    <w:r>
      <w:rPr>
        <w:color w:val="707070"/>
        <w:sz w:val="16"/>
        <w:szCs w:val="16"/>
      </w:rPr>
      <w:instrText>NUMPAGES</w:instrText>
    </w:r>
    <w:r>
      <w:rPr>
        <w:color w:val="707070"/>
        <w:sz w:val="16"/>
        <w:szCs w:val="16"/>
      </w:rPr>
      <w:fldChar w:fldCharType="separate"/>
    </w:r>
    <w:r>
      <w:rPr>
        <w:noProof/>
        <w:color w:val="707070"/>
        <w:sz w:val="16"/>
        <w:szCs w:val="16"/>
      </w:rPr>
      <w:t>1</w:t>
    </w:r>
    <w:r>
      <w:rPr>
        <w:color w:val="70707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18478" w14:textId="77777777" w:rsidR="00B6302F" w:rsidRDefault="00B6302F">
      <w:r>
        <w:separator/>
      </w:r>
    </w:p>
  </w:footnote>
  <w:footnote w:type="continuationSeparator" w:id="0">
    <w:p w14:paraId="5214D32D" w14:textId="77777777" w:rsidR="00B6302F" w:rsidRDefault="00B63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21"/>
    <w:rsid w:val="000E3252"/>
    <w:rsid w:val="0015594A"/>
    <w:rsid w:val="00242F47"/>
    <w:rsid w:val="00356559"/>
    <w:rsid w:val="00357DF5"/>
    <w:rsid w:val="00377E69"/>
    <w:rsid w:val="003C3B91"/>
    <w:rsid w:val="004D3CE6"/>
    <w:rsid w:val="004F4B8F"/>
    <w:rsid w:val="005808CF"/>
    <w:rsid w:val="005A79E1"/>
    <w:rsid w:val="005E460D"/>
    <w:rsid w:val="006051B9"/>
    <w:rsid w:val="00794257"/>
    <w:rsid w:val="00804B85"/>
    <w:rsid w:val="008259C8"/>
    <w:rsid w:val="009020EE"/>
    <w:rsid w:val="009C0E92"/>
    <w:rsid w:val="00B34121"/>
    <w:rsid w:val="00B6302F"/>
    <w:rsid w:val="00BF076A"/>
    <w:rsid w:val="00C64DA3"/>
    <w:rsid w:val="00D3065D"/>
    <w:rsid w:val="00DB60FF"/>
    <w:rsid w:val="00DC3748"/>
    <w:rsid w:val="00DF54F8"/>
    <w:rsid w:val="00F00049"/>
    <w:rsid w:val="00F31B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B35A1"/>
  <w15:chartTrackingRefBased/>
  <w15:docId w15:val="{A003901A-A4ED-4576-851F-1EDA739F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121"/>
    <w:pPr>
      <w:spacing w:after="0" w:line="240" w:lineRule="auto"/>
    </w:pPr>
    <w:rPr>
      <w:rFonts w:ascii="Arial" w:eastAsia="Arial" w:hAnsi="Arial" w:cs="Arial"/>
      <w:color w:val="404040"/>
      <w:sz w:val="18"/>
      <w:szCs w:val="18"/>
      <w:lang w:eastAsia="en-CA"/>
      <w14:ligatures w14:val="none"/>
    </w:rPr>
  </w:style>
  <w:style w:type="paragraph" w:styleId="Heading1">
    <w:name w:val="heading 1"/>
    <w:basedOn w:val="Normal"/>
    <w:next w:val="Normal"/>
    <w:link w:val="Heading1Char"/>
    <w:uiPriority w:val="9"/>
    <w:qFormat/>
    <w:rsid w:val="00B34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4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412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41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3412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3412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412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412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412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1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41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412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412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3412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341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41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41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41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41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1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12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4121"/>
    <w:pPr>
      <w:spacing w:before="160"/>
      <w:jc w:val="center"/>
    </w:pPr>
    <w:rPr>
      <w:i/>
      <w:iCs/>
      <w:color w:val="404040" w:themeColor="text1" w:themeTint="BF"/>
    </w:rPr>
  </w:style>
  <w:style w:type="character" w:customStyle="1" w:styleId="QuoteChar">
    <w:name w:val="Quote Char"/>
    <w:basedOn w:val="DefaultParagraphFont"/>
    <w:link w:val="Quote"/>
    <w:uiPriority w:val="29"/>
    <w:rsid w:val="00B34121"/>
    <w:rPr>
      <w:i/>
      <w:iCs/>
      <w:color w:val="404040" w:themeColor="text1" w:themeTint="BF"/>
    </w:rPr>
  </w:style>
  <w:style w:type="paragraph" w:styleId="ListParagraph">
    <w:name w:val="List Paragraph"/>
    <w:basedOn w:val="Normal"/>
    <w:uiPriority w:val="34"/>
    <w:qFormat/>
    <w:rsid w:val="00B34121"/>
    <w:pPr>
      <w:ind w:left="720"/>
      <w:contextualSpacing/>
    </w:pPr>
  </w:style>
  <w:style w:type="character" w:styleId="IntenseEmphasis">
    <w:name w:val="Intense Emphasis"/>
    <w:basedOn w:val="DefaultParagraphFont"/>
    <w:uiPriority w:val="21"/>
    <w:qFormat/>
    <w:rsid w:val="00B34121"/>
    <w:rPr>
      <w:i/>
      <w:iCs/>
      <w:color w:val="0F4761" w:themeColor="accent1" w:themeShade="BF"/>
    </w:rPr>
  </w:style>
  <w:style w:type="paragraph" w:styleId="IntenseQuote">
    <w:name w:val="Intense Quote"/>
    <w:basedOn w:val="Normal"/>
    <w:next w:val="Normal"/>
    <w:link w:val="IntenseQuoteChar"/>
    <w:uiPriority w:val="30"/>
    <w:qFormat/>
    <w:rsid w:val="00B34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121"/>
    <w:rPr>
      <w:i/>
      <w:iCs/>
      <w:color w:val="0F4761" w:themeColor="accent1" w:themeShade="BF"/>
    </w:rPr>
  </w:style>
  <w:style w:type="character" w:styleId="IntenseReference">
    <w:name w:val="Intense Reference"/>
    <w:basedOn w:val="DefaultParagraphFont"/>
    <w:uiPriority w:val="32"/>
    <w:qFormat/>
    <w:rsid w:val="00B34121"/>
    <w:rPr>
      <w:b/>
      <w:bCs/>
      <w:smallCaps/>
      <w:color w:val="0F4761" w:themeColor="accent1" w:themeShade="BF"/>
      <w:spacing w:val="5"/>
    </w:rPr>
  </w:style>
  <w:style w:type="paragraph" w:styleId="Header">
    <w:name w:val="header"/>
    <w:basedOn w:val="Normal"/>
    <w:link w:val="HeaderChar"/>
    <w:uiPriority w:val="99"/>
    <w:unhideWhenUsed/>
    <w:rsid w:val="009020EE"/>
    <w:pPr>
      <w:tabs>
        <w:tab w:val="center" w:pos="4680"/>
        <w:tab w:val="right" w:pos="9360"/>
      </w:tabs>
    </w:pPr>
  </w:style>
  <w:style w:type="character" w:customStyle="1" w:styleId="HeaderChar">
    <w:name w:val="Header Char"/>
    <w:basedOn w:val="DefaultParagraphFont"/>
    <w:link w:val="Header"/>
    <w:uiPriority w:val="99"/>
    <w:rsid w:val="009020EE"/>
    <w:rPr>
      <w:rFonts w:ascii="Arial" w:eastAsia="Arial" w:hAnsi="Arial" w:cs="Arial"/>
      <w:color w:val="404040"/>
      <w:sz w:val="18"/>
      <w:szCs w:val="18"/>
      <w:lang w:eastAsia="en-CA"/>
      <w14:ligatures w14:val="none"/>
    </w:rPr>
  </w:style>
  <w:style w:type="paragraph" w:styleId="Footer">
    <w:name w:val="footer"/>
    <w:basedOn w:val="Normal"/>
    <w:link w:val="FooterChar"/>
    <w:uiPriority w:val="99"/>
    <w:unhideWhenUsed/>
    <w:rsid w:val="009020EE"/>
    <w:pPr>
      <w:tabs>
        <w:tab w:val="center" w:pos="4680"/>
        <w:tab w:val="right" w:pos="9360"/>
      </w:tabs>
    </w:pPr>
  </w:style>
  <w:style w:type="character" w:customStyle="1" w:styleId="FooterChar">
    <w:name w:val="Footer Char"/>
    <w:basedOn w:val="DefaultParagraphFont"/>
    <w:link w:val="Footer"/>
    <w:uiPriority w:val="99"/>
    <w:rsid w:val="009020EE"/>
    <w:rPr>
      <w:rFonts w:ascii="Arial" w:eastAsia="Arial" w:hAnsi="Arial" w:cs="Arial"/>
      <w:color w:val="404040"/>
      <w:sz w:val="18"/>
      <w:szCs w:val="18"/>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North Island College</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Mayboudi</dc:creator>
  <cp:keywords/>
  <dc:description/>
  <cp:lastModifiedBy>Ali Mayboudi</cp:lastModifiedBy>
  <cp:revision>5</cp:revision>
  <dcterms:created xsi:type="dcterms:W3CDTF">2026-05-15T19:28:00Z</dcterms:created>
  <dcterms:modified xsi:type="dcterms:W3CDTF">2026-05-15T19:30:00Z</dcterms:modified>
</cp:coreProperties>
</file>